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0010" w14:textId="77777777" w:rsidR="00B32277" w:rsidRPr="00B32277" w:rsidRDefault="00B32277" w:rsidP="00B32277">
      <w:pPr>
        <w:pStyle w:val="Heading1"/>
        <w:rPr>
          <w:rFonts w:eastAsia="Times New Roman"/>
          <w:lang w:eastAsia="en-NZ"/>
        </w:rPr>
      </w:pPr>
      <w:bookmarkStart w:id="0" w:name="_GoBack"/>
      <w:bookmarkEnd w:id="0"/>
      <w:r w:rsidRPr="00B32277">
        <w:rPr>
          <w:rFonts w:eastAsia="Times New Roman"/>
          <w:lang w:eastAsia="en-NZ"/>
        </w:rPr>
        <w:t>Step 6: Considering disability throughout implementation</w:t>
      </w:r>
    </w:p>
    <w:p w14:paraId="03F24713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In this step, you will consider how to implement your policy proposal(s) based on an understanding of disabled people’s requirements.</w:t>
      </w:r>
    </w:p>
    <w:p w14:paraId="009D5A01" w14:textId="77777777" w:rsidR="00B32277" w:rsidRPr="00B32277" w:rsidRDefault="00B32277" w:rsidP="00B32277">
      <w:pPr>
        <w:pStyle w:val="Heading2"/>
        <w:rPr>
          <w:lang w:eastAsia="en-NZ"/>
        </w:rPr>
      </w:pPr>
      <w:r w:rsidRPr="00B32277">
        <w:rPr>
          <w:lang w:eastAsia="en-NZ"/>
        </w:rPr>
        <w:t>Considering the impacts and barriers</w:t>
      </w:r>
    </w:p>
    <w:p w14:paraId="2F929163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Questions to consider at this step are:</w:t>
      </w:r>
    </w:p>
    <w:p w14:paraId="24E03F36" w14:textId="77777777" w:rsidR="00B32277" w:rsidRPr="00B32277" w:rsidRDefault="00B32277" w:rsidP="00B32277">
      <w:pPr>
        <w:pStyle w:val="ListParagraph"/>
        <w:numPr>
          <w:ilvl w:val="0"/>
          <w:numId w:val="35"/>
        </w:num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What are key inequalities that disabled people face in terms of their resources and access to resources (</w:t>
      </w:r>
      <w:proofErr w:type="gramStart"/>
      <w:r w:rsidRPr="00B32277">
        <w:rPr>
          <w:rFonts w:ascii="Arial" w:hAnsi="Arial"/>
          <w:sz w:val="24"/>
          <w:szCs w:val="24"/>
          <w:lang w:eastAsia="en-NZ"/>
        </w:rPr>
        <w:t>e.g.</w:t>
      </w:r>
      <w:proofErr w:type="gramEnd"/>
      <w:r w:rsidRPr="00B32277">
        <w:rPr>
          <w:rFonts w:ascii="Arial" w:hAnsi="Arial"/>
          <w:sz w:val="24"/>
          <w:szCs w:val="24"/>
          <w:lang w:eastAsia="en-NZ"/>
        </w:rPr>
        <w:t xml:space="preserve"> work, money, political power, security, education, access to </w:t>
      </w:r>
      <w:proofErr w:type="spellStart"/>
      <w:r w:rsidRPr="00B32277">
        <w:rPr>
          <w:rFonts w:ascii="Arial" w:hAnsi="Arial"/>
          <w:sz w:val="24"/>
          <w:szCs w:val="24"/>
          <w:lang w:eastAsia="en-NZ"/>
        </w:rPr>
        <w:t>built</w:t>
      </w:r>
      <w:proofErr w:type="spellEnd"/>
      <w:r w:rsidRPr="00B32277">
        <w:rPr>
          <w:rFonts w:ascii="Arial" w:hAnsi="Arial"/>
          <w:sz w:val="24"/>
          <w:szCs w:val="24"/>
          <w:lang w:eastAsia="en-NZ"/>
        </w:rPr>
        <w:t xml:space="preserve"> environment, information and services, time, health and wellbeing, etc.)?</w:t>
      </w:r>
    </w:p>
    <w:p w14:paraId="49E5BB18" w14:textId="77777777" w:rsidR="00B32277" w:rsidRPr="00B32277" w:rsidRDefault="00B32277" w:rsidP="00B32277">
      <w:pPr>
        <w:pStyle w:val="ListParagraph"/>
        <w:numPr>
          <w:ilvl w:val="0"/>
          <w:numId w:val="35"/>
        </w:num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What obstacles are there to participation by disabled people? For example, factors relating to location, hours, cost, and family support may deter or prevent disabled people from participating in and/or completing your intervention/service.</w:t>
      </w:r>
    </w:p>
    <w:p w14:paraId="0D4759F5" w14:textId="77777777" w:rsidR="00B32277" w:rsidRPr="00B32277" w:rsidRDefault="00B32277" w:rsidP="00B32277">
      <w:pPr>
        <w:pStyle w:val="ListParagraph"/>
        <w:numPr>
          <w:ilvl w:val="0"/>
          <w:numId w:val="35"/>
        </w:num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Is safety an issue? Can disabled people access your intervention/service safely? </w:t>
      </w:r>
      <w:hyperlink r:id="rId6" w:tooltip="Open external link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See the MSD Accessibility Guide for more information </w:t>
        </w:r>
      </w:hyperlink>
      <w:r w:rsidRPr="00B32277">
        <w:rPr>
          <w:rFonts w:ascii="Arial" w:hAnsi="Arial"/>
          <w:sz w:val="24"/>
          <w:szCs w:val="24"/>
          <w:lang w:eastAsia="en-NZ"/>
        </w:rPr>
        <w:t>.</w:t>
      </w:r>
    </w:p>
    <w:p w14:paraId="0552B9B7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Keep in mind the impact your proposal may have on the financial support disabled people may be entitled to.</w:t>
      </w:r>
    </w:p>
    <w:p w14:paraId="51AB4D50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It is also important to consider that work and leadership roles are commonly biased towards non-disabled people, which can have implications for decision-making and access to resources.</w:t>
      </w:r>
    </w:p>
    <w:p w14:paraId="33C1D9DE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Unconscious and conscious bias against disabled people plays out at all levels of society and it is important to be aware of these.</w:t>
      </w:r>
    </w:p>
    <w:p w14:paraId="2ECFF164" w14:textId="77777777" w:rsidR="00B32277" w:rsidRPr="00B32277" w:rsidRDefault="00B32277" w:rsidP="00B32277">
      <w:pPr>
        <w:pStyle w:val="Heading3"/>
        <w:rPr>
          <w:lang w:eastAsia="en-NZ"/>
        </w:rPr>
      </w:pPr>
      <w:r w:rsidRPr="00B32277">
        <w:rPr>
          <w:lang w:eastAsia="en-NZ"/>
        </w:rPr>
        <w:t>Non-discrimination and equality</w:t>
      </w:r>
    </w:p>
    <w:p w14:paraId="7A6C57B3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 xml:space="preserve">Discrimination is often thought of as creating a distinction and treating certain people differently. Under national human rights law, not all distinctions are considered discriminatory. Discriminatory distinctions under human rights law are those that impose burdens, barriers, </w:t>
      </w:r>
      <w:proofErr w:type="gramStart"/>
      <w:r w:rsidRPr="00B32277">
        <w:rPr>
          <w:rFonts w:ascii="Arial" w:hAnsi="Arial"/>
          <w:sz w:val="24"/>
          <w:szCs w:val="24"/>
          <w:lang w:eastAsia="en-NZ"/>
        </w:rPr>
        <w:t>obligations</w:t>
      </w:r>
      <w:proofErr w:type="gramEnd"/>
      <w:r w:rsidRPr="00B32277">
        <w:rPr>
          <w:rFonts w:ascii="Arial" w:hAnsi="Arial"/>
          <w:sz w:val="24"/>
          <w:szCs w:val="24"/>
          <w:lang w:eastAsia="en-NZ"/>
        </w:rPr>
        <w:t xml:space="preserve"> or disadvantages on individuals who are members of groups protected by the prohibited grounds of discrimination (which include disability).</w:t>
      </w:r>
    </w:p>
    <w:p w14:paraId="296D6E15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 xml:space="preserve">Where people require different treatment to achieve equity, offering this treatment is a distinction that is considered non-discriminatory as the failure to provide the treatment can impose burdens, barriers, </w:t>
      </w:r>
      <w:proofErr w:type="gramStart"/>
      <w:r w:rsidRPr="00B32277">
        <w:rPr>
          <w:rFonts w:ascii="Arial" w:hAnsi="Arial"/>
          <w:sz w:val="24"/>
          <w:szCs w:val="24"/>
          <w:lang w:eastAsia="en-NZ"/>
        </w:rPr>
        <w:t>obligations</w:t>
      </w:r>
      <w:proofErr w:type="gramEnd"/>
      <w:r w:rsidRPr="00B32277">
        <w:rPr>
          <w:rFonts w:ascii="Arial" w:hAnsi="Arial"/>
          <w:sz w:val="24"/>
          <w:szCs w:val="24"/>
          <w:lang w:eastAsia="en-NZ"/>
        </w:rPr>
        <w:t xml:space="preserve"> or disadvantages.</w:t>
      </w:r>
    </w:p>
    <w:p w14:paraId="6624DF70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 xml:space="preserve">This central principle, that treating people equitably does not necessarily mean treating them the same, is particularly relevant to disabled people. This approach </w:t>
      </w:r>
      <w:r w:rsidRPr="00B32277">
        <w:rPr>
          <w:rFonts w:ascii="Arial" w:hAnsi="Arial"/>
          <w:sz w:val="24"/>
          <w:szCs w:val="24"/>
          <w:lang w:eastAsia="en-NZ"/>
        </w:rPr>
        <w:lastRenderedPageBreak/>
        <w:t xml:space="preserve">can also be phrased as having equitable opportunity to access a service, </w:t>
      </w:r>
      <w:proofErr w:type="gramStart"/>
      <w:r w:rsidRPr="00B32277">
        <w:rPr>
          <w:rFonts w:ascii="Arial" w:hAnsi="Arial"/>
          <w:sz w:val="24"/>
          <w:szCs w:val="24"/>
          <w:lang w:eastAsia="en-NZ"/>
        </w:rPr>
        <w:t>information</w:t>
      </w:r>
      <w:proofErr w:type="gramEnd"/>
      <w:r w:rsidRPr="00B32277">
        <w:rPr>
          <w:rFonts w:ascii="Arial" w:hAnsi="Arial"/>
          <w:sz w:val="24"/>
          <w:szCs w:val="24"/>
          <w:lang w:eastAsia="en-NZ"/>
        </w:rPr>
        <w:t xml:space="preserve"> or a physical place.</w:t>
      </w:r>
    </w:p>
    <w:p w14:paraId="2F9CB44A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Most non-discrimination provisions are about what not to do, rather than requiring positive action. However, non-discrimination in relation to disability sometimes requires some positive provision. This is acknowledged in the Human Rights Act 1993, through a stipulation that any affirmative or proactive measures needed to ensure equal participation for disabled people, or needed to eliminate systemic discrimination, must be reasonable.</w:t>
      </w:r>
    </w:p>
    <w:p w14:paraId="29BD443D" w14:textId="77777777" w:rsidR="00B32277" w:rsidRPr="00B32277" w:rsidRDefault="00B32277" w:rsidP="00B32277">
      <w:pPr>
        <w:pStyle w:val="Heading2"/>
        <w:rPr>
          <w:lang w:eastAsia="en-NZ"/>
        </w:rPr>
      </w:pPr>
      <w:r w:rsidRPr="00B32277">
        <w:rPr>
          <w:lang w:eastAsia="en-NZ"/>
        </w:rPr>
        <w:t>Keeping the community informed </w:t>
      </w:r>
    </w:p>
    <w:p w14:paraId="5CEFAB54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Sometimes the most effective communication is for government to use key influencers and access their help to get messages out.</w:t>
      </w:r>
    </w:p>
    <w:p w14:paraId="718CA72E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Key influencers include:</w:t>
      </w:r>
    </w:p>
    <w:p w14:paraId="3BF67E9B" w14:textId="77777777" w:rsidR="00B32277" w:rsidRPr="00B32277" w:rsidRDefault="00B32277" w:rsidP="00B32277">
      <w:pPr>
        <w:pStyle w:val="ListParagraph"/>
        <w:numPr>
          <w:ilvl w:val="0"/>
          <w:numId w:val="36"/>
        </w:numPr>
        <w:rPr>
          <w:rFonts w:ascii="Arial" w:hAnsi="Arial"/>
          <w:sz w:val="24"/>
          <w:szCs w:val="24"/>
          <w:lang w:eastAsia="en-NZ"/>
        </w:rPr>
      </w:pPr>
      <w:hyperlink r:id="rId7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The Disabled People's Organisation (DPO) Coalition</w:t>
        </w:r>
      </w:hyperlink>
    </w:p>
    <w:p w14:paraId="7A63D38D" w14:textId="77777777" w:rsidR="00B32277" w:rsidRPr="00B32277" w:rsidRDefault="00B32277" w:rsidP="00B32277">
      <w:pPr>
        <w:pStyle w:val="ListParagraph"/>
        <w:numPr>
          <w:ilvl w:val="0"/>
          <w:numId w:val="36"/>
        </w:numPr>
        <w:rPr>
          <w:rFonts w:ascii="Arial" w:hAnsi="Arial"/>
          <w:sz w:val="24"/>
          <w:szCs w:val="24"/>
          <w:lang w:eastAsia="en-NZ"/>
        </w:rPr>
      </w:pPr>
      <w:hyperlink r:id="rId8" w:tooltip="Open external link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The Disability Rights Commissioner</w:t>
        </w:r>
      </w:hyperlink>
    </w:p>
    <w:p w14:paraId="62B7C0DB" w14:textId="77777777" w:rsidR="00B32277" w:rsidRPr="00B32277" w:rsidRDefault="00B32277" w:rsidP="00B32277">
      <w:pPr>
        <w:pStyle w:val="ListParagraph"/>
        <w:numPr>
          <w:ilvl w:val="0"/>
          <w:numId w:val="36"/>
        </w:numPr>
        <w:rPr>
          <w:rFonts w:ascii="Arial" w:hAnsi="Arial"/>
          <w:sz w:val="24"/>
          <w:szCs w:val="24"/>
          <w:lang w:eastAsia="en-NZ"/>
        </w:rPr>
      </w:pPr>
      <w:hyperlink r:id="rId9" w:tooltip="Open external link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The Office of the Ombudsman</w:t>
        </w:r>
      </w:hyperlink>
    </w:p>
    <w:p w14:paraId="3E6E7C7B" w14:textId="77777777" w:rsidR="00B32277" w:rsidRPr="00B32277" w:rsidRDefault="00B32277" w:rsidP="00B32277">
      <w:pPr>
        <w:pStyle w:val="ListParagraph"/>
        <w:numPr>
          <w:ilvl w:val="0"/>
          <w:numId w:val="36"/>
        </w:numPr>
        <w:rPr>
          <w:rFonts w:ascii="Arial" w:hAnsi="Arial"/>
          <w:sz w:val="24"/>
          <w:szCs w:val="24"/>
          <w:lang w:eastAsia="en-NZ"/>
        </w:rPr>
      </w:pPr>
      <w:hyperlink r:id="rId10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The Office for Disability Issues</w:t>
        </w:r>
      </w:hyperlink>
    </w:p>
    <w:p w14:paraId="2FAA5C3E" w14:textId="77777777" w:rsidR="00B32277" w:rsidRPr="00B32277" w:rsidRDefault="00B32277" w:rsidP="00B32277">
      <w:pPr>
        <w:pStyle w:val="ListParagraph"/>
        <w:numPr>
          <w:ilvl w:val="0"/>
          <w:numId w:val="36"/>
        </w:numPr>
        <w:rPr>
          <w:rFonts w:ascii="Arial" w:hAnsi="Arial"/>
          <w:sz w:val="24"/>
          <w:szCs w:val="24"/>
          <w:lang w:eastAsia="en-NZ"/>
        </w:rPr>
      </w:pPr>
      <w:hyperlink r:id="rId11" w:tooltip="Open external link" w:history="1">
        <w:proofErr w:type="spellStart"/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I.Lead</w:t>
        </w:r>
        <w:proofErr w:type="spellEnd"/>
      </w:hyperlink>
    </w:p>
    <w:p w14:paraId="35A17D08" w14:textId="77777777" w:rsidR="00B32277" w:rsidRPr="00B32277" w:rsidRDefault="00B32277" w:rsidP="00B32277">
      <w:pPr>
        <w:pStyle w:val="ListParagraph"/>
        <w:numPr>
          <w:ilvl w:val="0"/>
          <w:numId w:val="36"/>
        </w:num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Community leaders</w:t>
      </w:r>
    </w:p>
    <w:p w14:paraId="0F4672D4" w14:textId="77777777" w:rsidR="00B32277" w:rsidRPr="00B32277" w:rsidRDefault="00B32277" w:rsidP="00B32277">
      <w:pPr>
        <w:pStyle w:val="Heading2"/>
        <w:rPr>
          <w:lang w:eastAsia="en-NZ"/>
        </w:rPr>
      </w:pPr>
      <w:r w:rsidRPr="00B32277">
        <w:rPr>
          <w:lang w:eastAsia="en-NZ"/>
        </w:rPr>
        <w:t>Consider whether additional implementation actions are needed for different sub-groups of disabled people</w:t>
      </w:r>
    </w:p>
    <w:p w14:paraId="1CAFD71B" w14:textId="77777777" w:rsidR="00B32277" w:rsidRPr="00B32277" w:rsidRDefault="00B32277" w:rsidP="00B32277">
      <w:pPr>
        <w:rPr>
          <w:rFonts w:ascii="Arial" w:hAnsi="Arial"/>
          <w:sz w:val="24"/>
          <w:szCs w:val="24"/>
          <w:lang w:eastAsia="en-NZ"/>
        </w:rPr>
      </w:pPr>
      <w:r w:rsidRPr="00B32277">
        <w:rPr>
          <w:rFonts w:ascii="Arial" w:hAnsi="Arial"/>
          <w:sz w:val="24"/>
          <w:szCs w:val="24"/>
          <w:lang w:eastAsia="en-NZ"/>
        </w:rPr>
        <w:t>Ensure that where appropriate, communications and information are in alternate formats suitable for all. See the </w:t>
      </w:r>
      <w:hyperlink r:id="rId12" w:tooltip="Open external link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Accessibility Charter </w:t>
        </w:r>
      </w:hyperlink>
      <w:r w:rsidRPr="00B32277">
        <w:rPr>
          <w:rFonts w:ascii="Arial" w:hAnsi="Arial"/>
          <w:sz w:val="24"/>
          <w:szCs w:val="24"/>
          <w:lang w:eastAsia="en-NZ"/>
        </w:rPr>
        <w:t>and the </w:t>
      </w:r>
      <w:hyperlink r:id="rId13" w:tgtFrame="_blank" w:tooltip="Open external link" w:history="1">
        <w:r w:rsidRPr="00B32277">
          <w:rPr>
            <w:rFonts w:ascii="Arial" w:hAnsi="Arial"/>
            <w:color w:val="3344DD"/>
            <w:sz w:val="24"/>
            <w:szCs w:val="24"/>
            <w:u w:val="single"/>
            <w:lang w:eastAsia="en-NZ"/>
          </w:rPr>
          <w:t>Accessibility Guide </w:t>
        </w:r>
      </w:hyperlink>
      <w:r w:rsidRPr="00B32277">
        <w:rPr>
          <w:rFonts w:ascii="Arial" w:hAnsi="Arial"/>
          <w:sz w:val="24"/>
          <w:szCs w:val="24"/>
          <w:lang w:eastAsia="en-NZ"/>
        </w:rPr>
        <w:t>.</w:t>
      </w:r>
    </w:p>
    <w:p w14:paraId="6E99CC0C" w14:textId="77777777" w:rsidR="00F829F6" w:rsidRPr="00F113EF" w:rsidRDefault="00F829F6" w:rsidP="00F113EF"/>
    <w:sectPr w:rsidR="00F829F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237D"/>
    <w:multiLevelType w:val="hybridMultilevel"/>
    <w:tmpl w:val="7764D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981192"/>
    <w:multiLevelType w:val="multilevel"/>
    <w:tmpl w:val="606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01839"/>
    <w:multiLevelType w:val="multilevel"/>
    <w:tmpl w:val="DA9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42D5788"/>
    <w:multiLevelType w:val="hybridMultilevel"/>
    <w:tmpl w:val="A0B49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3"/>
  </w:num>
  <w:num w:numId="12">
    <w:abstractNumId w:val="9"/>
  </w:num>
  <w:num w:numId="13">
    <w:abstractNumId w:val="11"/>
  </w:num>
  <w:num w:numId="14">
    <w:abstractNumId w:val="21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8"/>
  </w:num>
  <w:num w:numId="26">
    <w:abstractNumId w:val="29"/>
  </w:num>
  <w:num w:numId="27">
    <w:abstractNumId w:val="26"/>
  </w:num>
  <w:num w:numId="28">
    <w:abstractNumId w:val="19"/>
  </w:num>
  <w:num w:numId="29">
    <w:abstractNumId w:val="12"/>
  </w:num>
  <w:num w:numId="30">
    <w:abstractNumId w:val="20"/>
  </w:num>
  <w:num w:numId="31">
    <w:abstractNumId w:val="30"/>
  </w:num>
  <w:num w:numId="32">
    <w:abstractNumId w:val="22"/>
  </w:num>
  <w:num w:numId="33">
    <w:abstractNumId w:val="16"/>
  </w:num>
  <w:num w:numId="34">
    <w:abstractNumId w:val="25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77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2293D"/>
    <w:rsid w:val="00A43896"/>
    <w:rsid w:val="00A6244E"/>
    <w:rsid w:val="00B32277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8DDB"/>
  <w15:chartTrackingRefBased/>
  <w15:docId w15:val="{EEB8C43E-094B-4C8A-8A92-8F8B333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unhideWhenUsed/>
    <w:rsid w:val="00B32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69">
          <w:marLeft w:val="0"/>
          <w:marRight w:val="0"/>
          <w:marTop w:val="0"/>
          <w:marBottom w:val="570"/>
          <w:divBdr>
            <w:top w:val="single" w:sz="18" w:space="0" w:color="DADADA"/>
            <w:left w:val="none" w:sz="0" w:space="0" w:color="auto"/>
            <w:bottom w:val="single" w:sz="18" w:space="31" w:color="DADADA"/>
            <w:right w:val="none" w:sz="0" w:space="0" w:color="auto"/>
          </w:divBdr>
          <w:divsChild>
            <w:div w:id="176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c.co.nz/about/commissioners-and-senior-leadership/paula-tesoriero/" TargetMode="External"/><Relationship Id="rId13" Type="http://schemas.openxmlformats.org/officeDocument/2006/relationships/hyperlink" Target="http://msd.govt.nz/about-msd-and-our-work/work-programmes/accessibility/accessibility-guide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di.govt.nz/guidance-and-resources/disabled-peoples-organisations/?stage=Stage" TargetMode="External"/><Relationship Id="rId12" Type="http://schemas.openxmlformats.org/officeDocument/2006/relationships/hyperlink" Target="https://www.msd.govt.nz/accessibility-char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d.govt.nz/about-msd-and-our-work/work-programmes/accessibility/accessibility-guide/index.html" TargetMode="External"/><Relationship Id="rId11" Type="http://schemas.openxmlformats.org/officeDocument/2006/relationships/hyperlink" Target="https://ileadchang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di.govt.nz/?stage=St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budsman.parliament.n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C567-27EB-4B28-BE2E-C62EFBE6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McLeod</dc:creator>
  <cp:keywords/>
  <dc:description/>
  <cp:lastModifiedBy>Joanna McLeod</cp:lastModifiedBy>
  <cp:revision>1</cp:revision>
  <dcterms:created xsi:type="dcterms:W3CDTF">2022-01-11T03:44:00Z</dcterms:created>
  <dcterms:modified xsi:type="dcterms:W3CDTF">2022-01-11T03:47:00Z</dcterms:modified>
</cp:coreProperties>
</file>