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B453F" w14:textId="41B6A204" w:rsidR="00E725CF" w:rsidRPr="00E3754A" w:rsidRDefault="00E725CF">
      <w:pPr>
        <w:spacing w:line="240" w:lineRule="auto"/>
        <w:jc w:val="left"/>
        <w:rPr>
          <w:sz w:val="28"/>
          <w:szCs w:val="28"/>
          <w:lang w:val="en-AU"/>
        </w:rPr>
      </w:pPr>
      <w:bookmarkStart w:id="0" w:name="_Toc460065215"/>
      <w:bookmarkStart w:id="1" w:name="_GoBack"/>
      <w:bookmarkEnd w:id="1"/>
      <w:r w:rsidRPr="00E3754A">
        <w:rPr>
          <w:noProof/>
          <w:sz w:val="28"/>
          <w:szCs w:val="28"/>
          <w:lang w:eastAsia="en-NZ"/>
        </w:rPr>
        <w:drawing>
          <wp:anchor distT="0" distB="0" distL="114300" distR="114300" simplePos="0" relativeHeight="251658240" behindDoc="0" locked="0" layoutInCell="1" allowOverlap="1" wp14:anchorId="77FF8916" wp14:editId="622F5537">
            <wp:simplePos x="0" y="0"/>
            <wp:positionH relativeFrom="margin">
              <wp:align>center</wp:align>
            </wp:positionH>
            <wp:positionV relativeFrom="margin">
              <wp:align>center</wp:align>
            </wp:positionV>
            <wp:extent cx="7425690" cy="10506710"/>
            <wp:effectExtent l="0" t="0" r="0" b="8890"/>
            <wp:wrapSquare wrapText="bothSides"/>
            <wp:docPr id="1" name="Picture 1" descr="Macintosh HD:Users:georgina:Downloads:ODI Literature Review Front Cover-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orgina:Downloads:ODI Literature Review Front Cover-p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8274" cy="105102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54A">
        <w:rPr>
          <w:sz w:val="28"/>
          <w:szCs w:val="28"/>
          <w:lang w:val="en-AU"/>
        </w:rPr>
        <w:br w:type="page"/>
      </w:r>
    </w:p>
    <w:p w14:paraId="7582E917" w14:textId="77777777" w:rsidR="009C4E24" w:rsidRPr="00E3754A" w:rsidRDefault="009C4E24" w:rsidP="006A4DC7">
      <w:pPr>
        <w:pStyle w:val="NoSpacing"/>
        <w:rPr>
          <w:sz w:val="28"/>
          <w:szCs w:val="28"/>
          <w:lang w:val="en-AU"/>
        </w:rPr>
      </w:pPr>
    </w:p>
    <w:p w14:paraId="4E72FFBD" w14:textId="77777777" w:rsidR="00336937" w:rsidRPr="00E3754A" w:rsidRDefault="00336937">
      <w:pPr>
        <w:spacing w:line="240" w:lineRule="auto"/>
        <w:jc w:val="left"/>
        <w:rPr>
          <w:sz w:val="28"/>
          <w:szCs w:val="28"/>
          <w:lang w:val="en-AU"/>
        </w:rPr>
      </w:pPr>
      <w:r w:rsidRPr="00E3754A">
        <w:rPr>
          <w:sz w:val="28"/>
          <w:szCs w:val="28"/>
          <w:lang w:val="en-AU"/>
        </w:rPr>
        <w:br w:type="page"/>
      </w:r>
    </w:p>
    <w:p w14:paraId="2CC9E59B" w14:textId="77777777" w:rsidR="00336937" w:rsidRPr="00E3754A" w:rsidRDefault="00336937" w:rsidP="006A4DC7">
      <w:pPr>
        <w:pStyle w:val="NoSpacing"/>
        <w:rPr>
          <w:sz w:val="28"/>
          <w:szCs w:val="28"/>
          <w:lang w:val="en-AU"/>
        </w:rPr>
      </w:pPr>
    </w:p>
    <w:p w14:paraId="3B5DBD76" w14:textId="3ED00C41" w:rsidR="006A4DC7" w:rsidRPr="00E3754A" w:rsidRDefault="00154B0C" w:rsidP="006A4DC7">
      <w:pPr>
        <w:pStyle w:val="NoSpacing"/>
        <w:rPr>
          <w:sz w:val="28"/>
          <w:szCs w:val="28"/>
          <w:lang w:val="en-AU"/>
        </w:rPr>
      </w:pPr>
      <w:r w:rsidRPr="00E3754A">
        <w:rPr>
          <w:sz w:val="28"/>
          <w:szCs w:val="28"/>
          <w:lang w:val="en-AU"/>
        </w:rPr>
        <w:t>Exploring Article 12 of the United Nations Convention on the Rights of Persons with Disabilities: An Integrative Literature Review</w:t>
      </w:r>
      <w:r w:rsidR="006A4DC7" w:rsidRPr="00E3754A">
        <w:rPr>
          <w:sz w:val="28"/>
          <w:szCs w:val="28"/>
          <w:lang w:val="en-AU"/>
        </w:rPr>
        <w:tab/>
      </w:r>
    </w:p>
    <w:p w14:paraId="163A18FC" w14:textId="77777777" w:rsidR="006A4DC7" w:rsidRPr="00E3754A" w:rsidRDefault="006A4DC7" w:rsidP="006A4DC7">
      <w:pPr>
        <w:pStyle w:val="NoSpacing"/>
        <w:rPr>
          <w:lang w:val="en-AU"/>
        </w:rPr>
      </w:pPr>
    </w:p>
    <w:p w14:paraId="4DDD401B" w14:textId="77777777" w:rsidR="006A4DC7" w:rsidRPr="00E3754A" w:rsidRDefault="006A4DC7" w:rsidP="006A4DC7">
      <w:pPr>
        <w:pStyle w:val="NoSpacing"/>
        <w:rPr>
          <w:lang w:val="en-AU"/>
        </w:rPr>
      </w:pPr>
    </w:p>
    <w:p w14:paraId="2E6635A8" w14:textId="77777777" w:rsidR="006A4DC7" w:rsidRPr="00E3754A" w:rsidRDefault="006A4DC7" w:rsidP="006A4DC7">
      <w:pPr>
        <w:pStyle w:val="NoSpacing"/>
        <w:rPr>
          <w:lang w:val="en-AU"/>
        </w:rPr>
      </w:pPr>
    </w:p>
    <w:p w14:paraId="222544F3" w14:textId="77777777" w:rsidR="006A4DC7" w:rsidRPr="00E3754A" w:rsidRDefault="006A4DC7" w:rsidP="006A4DC7">
      <w:pPr>
        <w:pStyle w:val="NoSpacing"/>
        <w:rPr>
          <w:lang w:val="en-AU"/>
        </w:rPr>
      </w:pPr>
    </w:p>
    <w:p w14:paraId="0AD2ECBB" w14:textId="77777777" w:rsidR="006A4DC7" w:rsidRPr="00E3754A" w:rsidRDefault="006A4DC7" w:rsidP="006A4DC7">
      <w:pPr>
        <w:pStyle w:val="NoSpacing"/>
        <w:rPr>
          <w:lang w:val="en-AU"/>
        </w:rPr>
      </w:pPr>
    </w:p>
    <w:p w14:paraId="58D07C3A" w14:textId="77777777" w:rsidR="006A4DC7" w:rsidRPr="00E3754A" w:rsidRDefault="006A4DC7" w:rsidP="006A4DC7">
      <w:pPr>
        <w:pStyle w:val="NoSpacing"/>
        <w:rPr>
          <w:lang w:val="en-AU"/>
        </w:rPr>
      </w:pPr>
    </w:p>
    <w:p w14:paraId="513AA30C" w14:textId="77777777" w:rsidR="006A4DC7" w:rsidRPr="00E3754A" w:rsidRDefault="006A4DC7" w:rsidP="006A4DC7">
      <w:pPr>
        <w:pStyle w:val="NoSpacing"/>
        <w:rPr>
          <w:lang w:val="en-AU"/>
        </w:rPr>
      </w:pPr>
    </w:p>
    <w:p w14:paraId="518DE55D" w14:textId="77777777" w:rsidR="006A4DC7" w:rsidRPr="00E3754A" w:rsidRDefault="006A4DC7" w:rsidP="006A4DC7">
      <w:pPr>
        <w:pStyle w:val="NoSpacing"/>
        <w:rPr>
          <w:lang w:val="en-AU"/>
        </w:rPr>
      </w:pPr>
    </w:p>
    <w:p w14:paraId="4BA5111A" w14:textId="77777777" w:rsidR="006A4DC7" w:rsidRPr="00E3754A" w:rsidRDefault="006A4DC7" w:rsidP="006A4DC7">
      <w:pPr>
        <w:pStyle w:val="NoSpacing"/>
        <w:rPr>
          <w:lang w:val="en-AU"/>
        </w:rPr>
      </w:pPr>
    </w:p>
    <w:p w14:paraId="168DF700" w14:textId="77777777" w:rsidR="006A4DC7" w:rsidRPr="00E3754A" w:rsidRDefault="006A4DC7" w:rsidP="006A4DC7">
      <w:pPr>
        <w:pStyle w:val="NoSpacing"/>
        <w:rPr>
          <w:lang w:val="en-AU"/>
        </w:rPr>
      </w:pPr>
    </w:p>
    <w:p w14:paraId="5F498BB2" w14:textId="77777777" w:rsidR="006A4DC7" w:rsidRPr="00E3754A" w:rsidRDefault="006A4DC7" w:rsidP="006A4DC7">
      <w:pPr>
        <w:pStyle w:val="NoSpacing"/>
        <w:rPr>
          <w:lang w:val="en-AU"/>
        </w:rPr>
      </w:pPr>
    </w:p>
    <w:p w14:paraId="23811D8F" w14:textId="77777777" w:rsidR="006A4DC7" w:rsidRPr="00E3754A" w:rsidRDefault="006A4DC7" w:rsidP="006A4DC7">
      <w:pPr>
        <w:pStyle w:val="NoSpacing"/>
        <w:rPr>
          <w:lang w:val="en-AU"/>
        </w:rPr>
      </w:pPr>
    </w:p>
    <w:p w14:paraId="2B57AE06" w14:textId="77777777" w:rsidR="006A4DC7" w:rsidRPr="00E3754A" w:rsidRDefault="006A4DC7" w:rsidP="006A4DC7">
      <w:pPr>
        <w:pStyle w:val="NoSpacing"/>
        <w:rPr>
          <w:lang w:val="en-AU"/>
        </w:rPr>
      </w:pPr>
    </w:p>
    <w:p w14:paraId="736EAACC" w14:textId="77777777" w:rsidR="009C4E24" w:rsidRPr="00E3754A" w:rsidRDefault="009C4E24" w:rsidP="006A4DC7">
      <w:pPr>
        <w:pStyle w:val="NoSpacing"/>
        <w:rPr>
          <w:lang w:val="en-AU"/>
        </w:rPr>
      </w:pPr>
    </w:p>
    <w:p w14:paraId="42C0AE66" w14:textId="77777777" w:rsidR="006A4DC7" w:rsidRPr="00E3754A" w:rsidRDefault="006A4DC7" w:rsidP="006A4DC7">
      <w:pPr>
        <w:pStyle w:val="NoSpacing"/>
        <w:rPr>
          <w:lang w:val="en-AU"/>
        </w:rPr>
      </w:pPr>
    </w:p>
    <w:p w14:paraId="21943968" w14:textId="52B44539" w:rsidR="009C5ABC" w:rsidRDefault="006A4DC7" w:rsidP="006A4DC7">
      <w:pPr>
        <w:pStyle w:val="NoSpacing"/>
        <w:rPr>
          <w:lang w:val="en-AU"/>
        </w:rPr>
      </w:pPr>
      <w:r w:rsidRPr="00E3754A">
        <w:rPr>
          <w:lang w:val="en-AU"/>
        </w:rPr>
        <w:t>Suggested Citation: Mirfin</w:t>
      </w:r>
      <w:r w:rsidR="00901075" w:rsidRPr="00E3754A">
        <w:rPr>
          <w:lang w:val="en-AU"/>
        </w:rPr>
        <w:t>-Veitch, B.</w:t>
      </w:r>
      <w:r w:rsidR="003773B7">
        <w:rPr>
          <w:lang w:val="en-AU"/>
        </w:rPr>
        <w:t xml:space="preserve"> </w:t>
      </w:r>
      <w:r w:rsidR="00901075" w:rsidRPr="00E3754A">
        <w:rPr>
          <w:lang w:val="en-AU"/>
        </w:rPr>
        <w:t xml:space="preserve">(2016). </w:t>
      </w:r>
      <w:r w:rsidR="00901075" w:rsidRPr="00E3754A">
        <w:rPr>
          <w:i/>
          <w:lang w:val="en-AU"/>
        </w:rPr>
        <w:t>Exploring Article 12 of the United Nations Convention on the Rights of Persons with Disabilities: An Integrative Literature Review</w:t>
      </w:r>
      <w:r w:rsidRPr="00E3754A">
        <w:rPr>
          <w:lang w:val="en-AU"/>
        </w:rPr>
        <w:t>. Donald Beasley Institute: Dunedin</w:t>
      </w:r>
      <w:bookmarkStart w:id="2" w:name="_Toc334695107"/>
    </w:p>
    <w:p w14:paraId="3503A878" w14:textId="6620B82B" w:rsidR="006A4D24" w:rsidRDefault="006A4D24">
      <w:pPr>
        <w:spacing w:line="240" w:lineRule="auto"/>
        <w:jc w:val="left"/>
        <w:rPr>
          <w:lang w:val="en-AU"/>
        </w:rPr>
      </w:pPr>
      <w:r>
        <w:rPr>
          <w:lang w:val="en-AU"/>
        </w:rPr>
        <w:br w:type="page"/>
      </w:r>
    </w:p>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9236"/>
      </w:tblGrid>
      <w:tr w:rsidR="00781186" w:rsidRPr="00E3754A" w14:paraId="4A849970" w14:textId="77777777" w:rsidTr="000E105D">
        <w:tc>
          <w:tcPr>
            <w:tcW w:w="5000" w:type="pct"/>
            <w:shd w:val="clear" w:color="auto" w:fill="DDE1E9"/>
          </w:tcPr>
          <w:p w14:paraId="2F90366C" w14:textId="77777777" w:rsidR="00781186" w:rsidRPr="00E3754A" w:rsidRDefault="00781186" w:rsidP="000E105D">
            <w:pPr>
              <w:pStyle w:val="Heading1"/>
              <w:rPr>
                <w:lang w:val="en-AU"/>
              </w:rPr>
            </w:pPr>
            <w:bookmarkStart w:id="3" w:name="_Toc460960159"/>
            <w:bookmarkStart w:id="4" w:name="_Toc337970275"/>
            <w:bookmarkStart w:id="5" w:name="_Toc339021646"/>
            <w:bookmarkStart w:id="6" w:name="_Toc339036833"/>
            <w:r w:rsidRPr="00E3754A">
              <w:rPr>
                <w:lang w:val="en-AU"/>
              </w:rPr>
              <w:lastRenderedPageBreak/>
              <w:t>Executive Summary</w:t>
            </w:r>
            <w:bookmarkEnd w:id="3"/>
            <w:bookmarkEnd w:id="4"/>
            <w:bookmarkEnd w:id="5"/>
            <w:bookmarkEnd w:id="6"/>
          </w:p>
        </w:tc>
      </w:tr>
    </w:tbl>
    <w:p w14:paraId="5BFF2D1C" w14:textId="77777777" w:rsidR="00781186" w:rsidRPr="00E3754A" w:rsidRDefault="00781186" w:rsidP="00781186">
      <w:pPr>
        <w:pStyle w:val="NoSpacing"/>
        <w:rPr>
          <w:lang w:val="en-AU"/>
        </w:rPr>
      </w:pPr>
      <w:r w:rsidRPr="00E3754A">
        <w:rPr>
          <w:lang w:val="en-AU"/>
        </w:rPr>
        <w:t>Disabled people continue to face barriers to exercising legal capacity, often as a consequence of being denied equal recognition before the law.</w:t>
      </w:r>
    </w:p>
    <w:p w14:paraId="677279B0" w14:textId="77777777" w:rsidR="00781186" w:rsidRPr="00E3754A" w:rsidRDefault="00781186" w:rsidP="00781186">
      <w:pPr>
        <w:pStyle w:val="NoSpacing"/>
        <w:rPr>
          <w:lang w:val="en-AU"/>
        </w:rPr>
      </w:pPr>
      <w:r w:rsidRPr="00E3754A">
        <w:rPr>
          <w:lang w:val="en-AU"/>
        </w:rPr>
        <w:t>The purpose of this report is to provide information and direction based on recent research literature and evidence of actions taken by other states parties about the ways in which New Zealand may give effect Article 12, the right of di</w:t>
      </w:r>
      <w:r>
        <w:rPr>
          <w:lang w:val="en-AU"/>
        </w:rPr>
        <w:t>s</w:t>
      </w:r>
      <w:r w:rsidRPr="00E3754A">
        <w:rPr>
          <w:lang w:val="en-AU"/>
        </w:rPr>
        <w:t xml:space="preserve">abled people to equal recognition before the law, of the United Nations Convention on the Rights of Persons with Disabilities. As a state </w:t>
      </w:r>
      <w:r>
        <w:rPr>
          <w:lang w:val="en-AU"/>
        </w:rPr>
        <w:t xml:space="preserve">party </w:t>
      </w:r>
      <w:r w:rsidRPr="00E3754A">
        <w:rPr>
          <w:lang w:val="en-AU"/>
        </w:rPr>
        <w:t>to the Convention, New Zealand has recognised that it has an obligation to give effect to the right in Article 12. The report was guided by questions provided by the Office for Disability Issues that have been utilised as an organising framework for this report.</w:t>
      </w:r>
    </w:p>
    <w:tbl>
      <w:tblPr>
        <w:tblStyle w:val="Style5"/>
        <w:tblW w:w="5000" w:type="pct"/>
        <w:tblLook w:val="04A0" w:firstRow="1" w:lastRow="0" w:firstColumn="1" w:lastColumn="0" w:noHBand="0" w:noVBand="1"/>
      </w:tblPr>
      <w:tblGrid>
        <w:gridCol w:w="9236"/>
      </w:tblGrid>
      <w:tr w:rsidR="00781186" w:rsidRPr="00E3754A" w14:paraId="53603D0D" w14:textId="77777777" w:rsidTr="000E105D">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2DB35212" w14:textId="77777777" w:rsidR="00781186" w:rsidRPr="00E3754A" w:rsidRDefault="00781186" w:rsidP="000E105D">
            <w:pPr>
              <w:pStyle w:val="Heading3"/>
              <w:rPr>
                <w:lang w:val="en-AU"/>
              </w:rPr>
            </w:pPr>
            <w:bookmarkStart w:id="7" w:name="_Toc339021647"/>
            <w:bookmarkStart w:id="8" w:name="_Toc339036834"/>
            <w:r w:rsidRPr="00E3754A">
              <w:rPr>
                <w:lang w:val="en-AU"/>
              </w:rPr>
              <w:t>Setting the scene</w:t>
            </w:r>
            <w:bookmarkEnd w:id="7"/>
            <w:bookmarkEnd w:id="8"/>
          </w:p>
        </w:tc>
      </w:tr>
    </w:tbl>
    <w:p w14:paraId="2E1304A0" w14:textId="77777777" w:rsidR="00781186" w:rsidRPr="00E3754A" w:rsidRDefault="00781186" w:rsidP="00781186">
      <w:pPr>
        <w:pStyle w:val="NoSpacing"/>
        <w:rPr>
          <w:lang w:val="en-AU"/>
        </w:rPr>
      </w:pPr>
      <w:r w:rsidRPr="00E3754A">
        <w:rPr>
          <w:lang w:val="en-AU"/>
        </w:rPr>
        <w:t xml:space="preserve">The report begins with an overview of states parties’ obligations set out in the Convention and Article 12, including obligations to adjust legislation, policy, and practice so to: </w:t>
      </w:r>
    </w:p>
    <w:p w14:paraId="2AA52CFE" w14:textId="77777777" w:rsidR="00781186" w:rsidRPr="00E3754A" w:rsidRDefault="00781186" w:rsidP="00781186">
      <w:pPr>
        <w:pStyle w:val="NoSpacing"/>
        <w:numPr>
          <w:ilvl w:val="0"/>
          <w:numId w:val="28"/>
        </w:numPr>
        <w:rPr>
          <w:lang w:val="en-AU"/>
        </w:rPr>
      </w:pPr>
      <w:r w:rsidRPr="00E3754A">
        <w:rPr>
          <w:lang w:val="en-AU"/>
        </w:rPr>
        <w:t>Replace substituted decision-making with supported decision-making as both a process and a legal paradigm.</w:t>
      </w:r>
    </w:p>
    <w:p w14:paraId="1DBBCEF6" w14:textId="77777777" w:rsidR="00781186" w:rsidRPr="00E3754A" w:rsidRDefault="00781186" w:rsidP="00781186">
      <w:pPr>
        <w:pStyle w:val="NoSpacing"/>
        <w:numPr>
          <w:ilvl w:val="0"/>
          <w:numId w:val="28"/>
        </w:numPr>
        <w:rPr>
          <w:lang w:val="en-AU"/>
        </w:rPr>
      </w:pPr>
      <w:r w:rsidRPr="00E3754A">
        <w:rPr>
          <w:lang w:val="en-AU"/>
        </w:rPr>
        <w:t>Adjust and modify systemic factors and environments (both within states</w:t>
      </w:r>
      <w:r>
        <w:rPr>
          <w:lang w:val="en-AU"/>
        </w:rPr>
        <w:t xml:space="preserve"> parties</w:t>
      </w:r>
      <w:r w:rsidRPr="00E3754A">
        <w:rPr>
          <w:lang w:val="en-AU"/>
        </w:rPr>
        <w:t>’ jurisdictions and private sectors) in order to improve opportunities for disabled people to exercise legal agency and capacity on an equal basis with others. This obligation is underpinned by an expectation that member states will approach disability from a social model rather than medical model perspective.</w:t>
      </w:r>
    </w:p>
    <w:p w14:paraId="48FF802B" w14:textId="77777777" w:rsidR="00781186" w:rsidRPr="00E3754A" w:rsidRDefault="00781186" w:rsidP="00781186">
      <w:pPr>
        <w:pStyle w:val="NoSpacing"/>
        <w:numPr>
          <w:ilvl w:val="0"/>
          <w:numId w:val="28"/>
        </w:numPr>
        <w:rPr>
          <w:lang w:val="en-AU"/>
        </w:rPr>
      </w:pPr>
      <w:r w:rsidRPr="00E3754A">
        <w:rPr>
          <w:lang w:val="en-AU"/>
        </w:rPr>
        <w:t>Abolish capacity tests, such as the status, outcome, and functional approaches and replace them with disability-neutral practices and safeguards regarding disabled people’s exercise of legal capacity.</w:t>
      </w:r>
    </w:p>
    <w:p w14:paraId="0CE4D26F" w14:textId="68D0832E" w:rsidR="00781186" w:rsidRPr="00E3754A" w:rsidRDefault="00781186" w:rsidP="00781186">
      <w:pPr>
        <w:pStyle w:val="NoSpacing"/>
        <w:numPr>
          <w:ilvl w:val="0"/>
          <w:numId w:val="28"/>
        </w:numPr>
        <w:rPr>
          <w:lang w:val="en-AU"/>
        </w:rPr>
      </w:pPr>
      <w:r w:rsidRPr="00E3754A">
        <w:rPr>
          <w:lang w:val="en-AU"/>
        </w:rPr>
        <w:t>Discard notions of legal incapacity, which involves the conceptual sep</w:t>
      </w:r>
      <w:r w:rsidR="000C5BE7">
        <w:rPr>
          <w:lang w:val="en-AU"/>
        </w:rPr>
        <w:t>a</w:t>
      </w:r>
      <w:r w:rsidRPr="00E3754A">
        <w:rPr>
          <w:lang w:val="en-AU"/>
        </w:rPr>
        <w:t xml:space="preserve">ration of </w:t>
      </w:r>
      <w:r w:rsidRPr="00E3754A">
        <w:rPr>
          <w:i/>
          <w:lang w:val="en-AU"/>
        </w:rPr>
        <w:t>mental</w:t>
      </w:r>
      <w:r w:rsidRPr="00E3754A">
        <w:rPr>
          <w:lang w:val="en-AU"/>
        </w:rPr>
        <w:t xml:space="preserve"> and </w:t>
      </w:r>
      <w:r w:rsidRPr="00E3754A">
        <w:rPr>
          <w:i/>
          <w:lang w:val="en-AU"/>
        </w:rPr>
        <w:t>legal</w:t>
      </w:r>
      <w:r w:rsidRPr="00E3754A">
        <w:rPr>
          <w:lang w:val="en-AU"/>
        </w:rPr>
        <w:t xml:space="preserve"> capacity. As a consequence, legal capacity is recognised as a non-derogable right while mental capacity</w:t>
      </w:r>
      <w:r>
        <w:rPr>
          <w:lang w:val="en-AU"/>
        </w:rPr>
        <w:t>,</w:t>
      </w:r>
      <w:r w:rsidRPr="00E3754A">
        <w:rPr>
          <w:lang w:val="en-AU"/>
        </w:rPr>
        <w:t xml:space="preserve"> </w:t>
      </w:r>
      <w:r>
        <w:rPr>
          <w:lang w:val="en-AU"/>
        </w:rPr>
        <w:t xml:space="preserve">and subsequently </w:t>
      </w:r>
      <w:r w:rsidRPr="00277E19">
        <w:rPr>
          <w:lang w:val="en-AU"/>
        </w:rPr>
        <w:t>the</w:t>
      </w:r>
      <w:r w:rsidRPr="00E3754A">
        <w:rPr>
          <w:lang w:val="en-AU"/>
        </w:rPr>
        <w:t xml:space="preserve"> level of support a person require</w:t>
      </w:r>
      <w:r>
        <w:rPr>
          <w:lang w:val="en-AU"/>
        </w:rPr>
        <w:t>s, may fluctuate</w:t>
      </w:r>
      <w:r w:rsidRPr="00E3754A">
        <w:rPr>
          <w:lang w:val="en-AU"/>
        </w:rPr>
        <w:t>. This involves conce</w:t>
      </w:r>
      <w:r>
        <w:rPr>
          <w:lang w:val="en-AU"/>
        </w:rPr>
        <w:t>i</w:t>
      </w:r>
      <w:r w:rsidRPr="00E3754A">
        <w:rPr>
          <w:lang w:val="en-AU"/>
        </w:rPr>
        <w:t>ving of capacity as a human right.</w:t>
      </w:r>
    </w:p>
    <w:p w14:paraId="41699383" w14:textId="77777777" w:rsidR="00781186" w:rsidRPr="00E3754A" w:rsidRDefault="00781186" w:rsidP="00781186">
      <w:pPr>
        <w:pStyle w:val="NoSpacing"/>
        <w:numPr>
          <w:ilvl w:val="0"/>
          <w:numId w:val="28"/>
        </w:numPr>
        <w:rPr>
          <w:lang w:val="en-AU"/>
        </w:rPr>
      </w:pPr>
      <w:r w:rsidRPr="00E3754A">
        <w:rPr>
          <w:lang w:val="en-AU"/>
        </w:rPr>
        <w:t>Replace ‘best interests’ with ‘will and preference’ as part of a paradigm shift towards conceptualising legal capacity, whereby ‘will and preference’ becomes the determining and central factor in decision-making.</w:t>
      </w:r>
    </w:p>
    <w:p w14:paraId="0A4CE25C" w14:textId="77777777" w:rsidR="00781186" w:rsidRPr="00E3754A" w:rsidRDefault="00781186" w:rsidP="00781186">
      <w:pPr>
        <w:pStyle w:val="NoSpacing"/>
        <w:rPr>
          <w:lang w:val="en-AU"/>
        </w:rPr>
      </w:pPr>
      <w:r w:rsidRPr="00E3754A">
        <w:rPr>
          <w:lang w:val="en-AU"/>
        </w:rPr>
        <w:t>These principles signal an obligation for states parties to radically depart from current prevailing practice, norms, and models upon which disabled people are engaged with often on an involuntary basis. In traditional and current practice in various jurisdictions, disabled persons have been denied equal legal agency and capacity before the law on the basis of a minimum threshold of evidence of cognitive ability or solely on the basis of their status of having a disability (Bartlett, 2012; Keeling, 2016; and Kohn &amp; Blumenthal, 2014), often for the purposes of risk-avoidant interventions (McDaid &amp; Delaney, 2010). It is expected that this radical departure ought to occur as an immediate and wide-scale revision. The Convention has been the catalyst for a paradigm shift in conceptualising legal capacity as independent of mental capacity and as non-derogable. However, the obligations that have emerged as a result of this re-conceptualisation remain hotly contested.</w:t>
      </w:r>
    </w:p>
    <w:tbl>
      <w:tblPr>
        <w:tblStyle w:val="Style5"/>
        <w:tblW w:w="5000" w:type="pct"/>
        <w:tblLook w:val="04A0" w:firstRow="1" w:lastRow="0" w:firstColumn="1" w:lastColumn="0" w:noHBand="0" w:noVBand="1"/>
      </w:tblPr>
      <w:tblGrid>
        <w:gridCol w:w="9236"/>
      </w:tblGrid>
      <w:tr w:rsidR="00781186" w:rsidRPr="00E3754A" w14:paraId="57292159" w14:textId="77777777" w:rsidTr="000E105D">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429487C3" w14:textId="77777777" w:rsidR="00781186" w:rsidRPr="00E3754A" w:rsidRDefault="00781186" w:rsidP="000E105D">
            <w:pPr>
              <w:pStyle w:val="Heading3"/>
              <w:rPr>
                <w:lang w:val="en-AU"/>
              </w:rPr>
            </w:pPr>
            <w:bookmarkStart w:id="9" w:name="_Toc339021648"/>
            <w:bookmarkStart w:id="10" w:name="_Toc339036835"/>
            <w:r w:rsidRPr="00E3754A">
              <w:rPr>
                <w:lang w:val="en-AU"/>
              </w:rPr>
              <w:t>Remaining tensions concerning Article 12</w:t>
            </w:r>
            <w:bookmarkEnd w:id="9"/>
            <w:bookmarkEnd w:id="10"/>
          </w:p>
        </w:tc>
      </w:tr>
    </w:tbl>
    <w:p w14:paraId="5FF1478B" w14:textId="34B9331A" w:rsidR="00781186" w:rsidRPr="00E3754A" w:rsidRDefault="00781186" w:rsidP="00781186">
      <w:pPr>
        <w:pStyle w:val="NoSpacing"/>
        <w:rPr>
          <w:lang w:val="en-AU"/>
        </w:rPr>
      </w:pPr>
      <w:r w:rsidRPr="00E3754A">
        <w:rPr>
          <w:lang w:val="en-AU"/>
        </w:rPr>
        <w:t>Although there is general consensus with the spirit of the Convention, issues of tension remain due to dramatically different interpretations being posited about the nature and extent of states parties’ obligations. While the General Comment No. 1 (2014) was intended to clarify the intent of Article 12 and to provide states parties with direction on how to give expression to it, inter</w:t>
      </w:r>
      <w:r w:rsidR="006B0D4F">
        <w:rPr>
          <w:lang w:val="en-AU"/>
        </w:rPr>
        <w:t>r</w:t>
      </w:r>
      <w:r w:rsidRPr="00E3754A">
        <w:rPr>
          <w:lang w:val="en-AU"/>
        </w:rPr>
        <w:t xml:space="preserve">ogation of the literature enabled a number of key issues and debates related to the implementation of supported decision-making at a systemic and practice level to be highlighted. These included debates about: how to theorise supported decision-making for individuals with severe cognitive impairment; how to determine when a disabled person requires assistance with decision-making; how to identify and manage situations whereby a person’s will and preferences conflict; how to determine and how to respond when disabled people and their supporters have conflicting will and preferences; and the nature and extent of safeguards required for disabled people, and in some cases their supporters, in the Convention era. </w:t>
      </w:r>
    </w:p>
    <w:p w14:paraId="46529522" w14:textId="224575FF" w:rsidR="00781186" w:rsidRPr="00E3754A" w:rsidRDefault="00781186" w:rsidP="00781186">
      <w:pPr>
        <w:pStyle w:val="NoSpacing"/>
        <w:rPr>
          <w:lang w:val="en-AU"/>
        </w:rPr>
      </w:pPr>
      <w:r w:rsidRPr="00E3754A">
        <w:rPr>
          <w:lang w:val="en-AU"/>
        </w:rPr>
        <w:t>Particularly, disagreement remains in the literature regarding the extent to which disabled persons can be engaged with on purely voluntary bases and whether substituted decision-making is a necessary last resort option or whether it can be replaced in its entirety by different froms of supported decision-making (such as facilitated decision-making). One side of the debate argues that there will always be cases where a person is too dangerous, lacks a sufficient understanding of the decision, or is completely unable to communicate their will and preference (see Dawson, 2015; Ciavano, 2014; Gooding, 2015). On the other side of the debate, it is argued that it is critical to optimise people</w:t>
      </w:r>
      <w:r>
        <w:rPr>
          <w:lang w:val="en-AU"/>
        </w:rPr>
        <w:t>’</w:t>
      </w:r>
      <w:r w:rsidRPr="00E3754A">
        <w:rPr>
          <w:lang w:val="en-AU"/>
        </w:rPr>
        <w:t>s true will and preferences as much as possible and violating the equal rights and dignity of people through proxy (substituted decision-making) is not permiss</w:t>
      </w:r>
      <w:r w:rsidR="006B0D4F">
        <w:rPr>
          <w:lang w:val="en-AU"/>
        </w:rPr>
        <w:t>i</w:t>
      </w:r>
      <w:r w:rsidRPr="00E3754A">
        <w:rPr>
          <w:lang w:val="en-AU"/>
        </w:rPr>
        <w:t>ble (see Byrnes et al., 2007</w:t>
      </w:r>
      <w:r>
        <w:rPr>
          <w:lang w:val="en-AU"/>
        </w:rPr>
        <w:t xml:space="preserve">; </w:t>
      </w:r>
      <w:r w:rsidRPr="00E3754A">
        <w:rPr>
          <w:lang w:val="en-AU"/>
        </w:rPr>
        <w:t>Kohn &amp; Blumenthal, 2014). It is also argued from this body of literature, that people</w:t>
      </w:r>
      <w:r>
        <w:rPr>
          <w:lang w:val="en-AU"/>
        </w:rPr>
        <w:t>’</w:t>
      </w:r>
      <w:r w:rsidRPr="00E3754A">
        <w:rPr>
          <w:lang w:val="en-AU"/>
        </w:rPr>
        <w:t xml:space="preserve">s will and preferences can always be ascertained, even if it means proceeding on the basis of information known about them, which enables that person to exercise their agency through a third party (see </w:t>
      </w:r>
      <w:r w:rsidRPr="00E3754A">
        <w:rPr>
          <w:iCs/>
          <w:lang w:val="en-AU"/>
        </w:rPr>
        <w:t>Arstein-Kerslake &amp; Flynn, 2015; Devi, 2013; Flynn &amp; Arstein-Kerslake, 2014</w:t>
      </w:r>
      <w:r w:rsidRPr="00E3754A">
        <w:rPr>
          <w:lang w:val="en-AU"/>
        </w:rPr>
        <w:t xml:space="preserve">). It is also argued that disability-neutral options are available to states parties to protect </w:t>
      </w:r>
      <w:r>
        <w:rPr>
          <w:lang w:val="en-AU"/>
        </w:rPr>
        <w:t xml:space="preserve">disabled </w:t>
      </w:r>
      <w:r w:rsidRPr="00E3754A">
        <w:rPr>
          <w:lang w:val="en-AU"/>
        </w:rPr>
        <w:t>people and others from danger (see Richardson, 2012; WNUSP, 2008).</w:t>
      </w:r>
    </w:p>
    <w:tbl>
      <w:tblPr>
        <w:tblStyle w:val="Style5"/>
        <w:tblW w:w="5000" w:type="pct"/>
        <w:tblLook w:val="04A0" w:firstRow="1" w:lastRow="0" w:firstColumn="1" w:lastColumn="0" w:noHBand="0" w:noVBand="1"/>
      </w:tblPr>
      <w:tblGrid>
        <w:gridCol w:w="9236"/>
      </w:tblGrid>
      <w:tr w:rsidR="00781186" w:rsidRPr="00E3754A" w14:paraId="755FC4D5" w14:textId="77777777" w:rsidTr="000E105D">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693019EF" w14:textId="77777777" w:rsidR="00781186" w:rsidRPr="00E3754A" w:rsidRDefault="00781186" w:rsidP="000E105D">
            <w:pPr>
              <w:pStyle w:val="Heading3"/>
              <w:rPr>
                <w:lang w:val="en-AU"/>
              </w:rPr>
            </w:pPr>
            <w:bookmarkStart w:id="11" w:name="_Toc339021649"/>
            <w:bookmarkStart w:id="12" w:name="_Toc339036836"/>
            <w:r w:rsidRPr="00E3754A">
              <w:rPr>
                <w:lang w:val="en-AU"/>
              </w:rPr>
              <w:t>Who are we talking about?</w:t>
            </w:r>
            <w:bookmarkEnd w:id="11"/>
            <w:bookmarkEnd w:id="12"/>
          </w:p>
        </w:tc>
      </w:tr>
    </w:tbl>
    <w:p w14:paraId="760F0581" w14:textId="5DCC7BE5" w:rsidR="00781186" w:rsidRPr="00E3754A" w:rsidRDefault="00781186" w:rsidP="00781186">
      <w:pPr>
        <w:pStyle w:val="NoSpacing"/>
        <w:rPr>
          <w:lang w:val="en-AU"/>
        </w:rPr>
      </w:pPr>
      <w:r w:rsidRPr="00E3754A">
        <w:rPr>
          <w:lang w:val="en-AU"/>
        </w:rPr>
        <w:t xml:space="preserve">The significance of the obligations in Article 12, and the subsequent radical departures from traditional understandings of legal and mental capacity they require, pertain to </w:t>
      </w:r>
      <w:r w:rsidRPr="00E3754A">
        <w:rPr>
          <w:i/>
          <w:lang w:val="en-AU"/>
        </w:rPr>
        <w:t>all</w:t>
      </w:r>
      <w:r w:rsidRPr="00E3754A">
        <w:rPr>
          <w:lang w:val="en-AU"/>
        </w:rPr>
        <w:t xml:space="preserve"> disabled persons but pertain significantly to groups most who have frequently been obstructed from exercising their legal capacity. The groups most significan</w:t>
      </w:r>
      <w:r>
        <w:rPr>
          <w:lang w:val="en-AU"/>
        </w:rPr>
        <w:t>tl</w:t>
      </w:r>
      <w:r w:rsidRPr="00E3754A">
        <w:rPr>
          <w:lang w:val="en-AU"/>
        </w:rPr>
        <w:t xml:space="preserve">y </w:t>
      </w:r>
      <w:r>
        <w:rPr>
          <w:lang w:val="en-AU"/>
        </w:rPr>
        <w:t>a</w:t>
      </w:r>
      <w:r w:rsidRPr="00E3754A">
        <w:rPr>
          <w:lang w:val="en-AU"/>
        </w:rPr>
        <w:t xml:space="preserve">ffected, as identified through the literature, are people with: developmental and learning disabilities; dementia; acquired brain injuries; and mental </w:t>
      </w:r>
      <w:r>
        <w:rPr>
          <w:lang w:val="en-AU"/>
        </w:rPr>
        <w:t>distress</w:t>
      </w:r>
      <w:r w:rsidRPr="00E3754A">
        <w:rPr>
          <w:lang w:val="en-AU"/>
        </w:rPr>
        <w:t>.</w:t>
      </w:r>
    </w:p>
    <w:tbl>
      <w:tblPr>
        <w:tblStyle w:val="Style5"/>
        <w:tblW w:w="5000" w:type="pct"/>
        <w:tblLook w:val="04A0" w:firstRow="1" w:lastRow="0" w:firstColumn="1" w:lastColumn="0" w:noHBand="0" w:noVBand="1"/>
      </w:tblPr>
      <w:tblGrid>
        <w:gridCol w:w="9236"/>
      </w:tblGrid>
      <w:tr w:rsidR="00781186" w:rsidRPr="00E3754A" w14:paraId="437B47DB" w14:textId="77777777" w:rsidTr="000E105D">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395315E2" w14:textId="77777777" w:rsidR="00781186" w:rsidRPr="00E3754A" w:rsidRDefault="00781186" w:rsidP="000E105D">
            <w:pPr>
              <w:pStyle w:val="Heading3"/>
              <w:rPr>
                <w:lang w:val="en-AU"/>
              </w:rPr>
            </w:pPr>
            <w:bookmarkStart w:id="13" w:name="_Toc339021650"/>
            <w:bookmarkStart w:id="14" w:name="_Toc339036837"/>
            <w:r w:rsidRPr="00E3754A">
              <w:rPr>
                <w:lang w:val="en-AU"/>
              </w:rPr>
              <w:t>Giving effect to Article 12 in law, policy, and practice</w:t>
            </w:r>
            <w:bookmarkEnd w:id="13"/>
            <w:bookmarkEnd w:id="14"/>
          </w:p>
        </w:tc>
      </w:tr>
    </w:tbl>
    <w:p w14:paraId="6B8084B5" w14:textId="77777777" w:rsidR="00781186" w:rsidRPr="00E3754A" w:rsidRDefault="00781186" w:rsidP="00781186">
      <w:pPr>
        <w:pStyle w:val="NoSpacing"/>
        <w:rPr>
          <w:lang w:val="en-AU"/>
        </w:rPr>
      </w:pPr>
      <w:r w:rsidRPr="00E3754A">
        <w:rPr>
          <w:lang w:val="en-AU"/>
        </w:rPr>
        <w:t xml:space="preserve">This report identifies and explores specific approaches and mechanisms for supported decision-making that have been signalled in the literature, or have been implemented by states parties committed to embedding Article 12 of the Convention in the daily lives of disabled people. While a dominant way of theorising the implementation of supported decision-making is still to emerge, there is quite a high degree of consensus relating to the elements of effective supported decision-making. The most extensive body of research relating to Article 12 of the Convention articulates the critical elements required to ensure that will and preference remains central in all situations involving disabled people who require assistance with decision-making. </w:t>
      </w:r>
    </w:p>
    <w:p w14:paraId="3C700007" w14:textId="77777777" w:rsidR="00781186" w:rsidRPr="00E3754A" w:rsidRDefault="00781186" w:rsidP="00781186">
      <w:pPr>
        <w:pStyle w:val="NoSpacing"/>
        <w:rPr>
          <w:lang w:val="en-AU"/>
        </w:rPr>
      </w:pPr>
      <w:r w:rsidRPr="00E3754A">
        <w:rPr>
          <w:lang w:val="en-AU"/>
        </w:rPr>
        <w:t>Implementation strategies by states parties, non-governmental organisations, and disabled persons’ organisations have ranged from:</w:t>
      </w:r>
    </w:p>
    <w:p w14:paraId="2FBDD227" w14:textId="77777777" w:rsidR="00781186" w:rsidRPr="00E3754A" w:rsidRDefault="00781186" w:rsidP="00781186">
      <w:pPr>
        <w:pStyle w:val="NoSpacing"/>
        <w:numPr>
          <w:ilvl w:val="0"/>
          <w:numId w:val="29"/>
        </w:numPr>
        <w:rPr>
          <w:lang w:val="en-AU"/>
        </w:rPr>
      </w:pPr>
      <w:r w:rsidRPr="00E3754A">
        <w:rPr>
          <w:lang w:val="en-AU"/>
        </w:rPr>
        <w:t>Legislative change to discard notions of legal incapacity (as in the case of Sweden) or adjust notions of incapacity (Denmark).</w:t>
      </w:r>
    </w:p>
    <w:p w14:paraId="2033F232" w14:textId="08B9EC3E" w:rsidR="00781186" w:rsidRPr="00E3754A" w:rsidRDefault="00781186" w:rsidP="00781186">
      <w:pPr>
        <w:pStyle w:val="NoSpacing"/>
        <w:numPr>
          <w:ilvl w:val="0"/>
          <w:numId w:val="29"/>
        </w:numPr>
        <w:rPr>
          <w:lang w:val="en-AU"/>
        </w:rPr>
      </w:pPr>
      <w:r w:rsidRPr="00E3754A">
        <w:rPr>
          <w:lang w:val="en-AU"/>
        </w:rPr>
        <w:t xml:space="preserve">Legislative change or review to </w:t>
      </w:r>
      <w:r w:rsidR="006B0D4F">
        <w:rPr>
          <w:lang w:val="en-AU"/>
        </w:rPr>
        <w:t>e</w:t>
      </w:r>
      <w:r w:rsidRPr="00E3754A">
        <w:rPr>
          <w:lang w:val="en-AU"/>
        </w:rPr>
        <w:t>mbed Article 12 in jurisdictionally-binding rights frameworks (Charter of Human Rights and Responsibilities, Australia).</w:t>
      </w:r>
    </w:p>
    <w:p w14:paraId="03DF1B58" w14:textId="5FA8B726" w:rsidR="00781186" w:rsidRPr="00E3754A" w:rsidRDefault="00781186" w:rsidP="00781186">
      <w:pPr>
        <w:pStyle w:val="NoSpacing"/>
        <w:numPr>
          <w:ilvl w:val="0"/>
          <w:numId w:val="29"/>
        </w:numPr>
        <w:rPr>
          <w:lang w:val="en-AU"/>
        </w:rPr>
      </w:pPr>
      <w:r w:rsidRPr="00E3754A">
        <w:rPr>
          <w:lang w:val="en-AU"/>
        </w:rPr>
        <w:t xml:space="preserve">Legislative change to </w:t>
      </w:r>
      <w:r w:rsidR="006B0D4F">
        <w:rPr>
          <w:lang w:val="en-AU"/>
        </w:rPr>
        <w:t>e</w:t>
      </w:r>
      <w:r w:rsidRPr="00E3754A">
        <w:rPr>
          <w:lang w:val="en-AU"/>
        </w:rPr>
        <w:t>mbed the reasonable accomodation of disabled people in jurisdictionally-binding rights frameworks (Charter of Human Rights and Responsibilities, Australia).</w:t>
      </w:r>
    </w:p>
    <w:p w14:paraId="2128B4C5" w14:textId="77777777" w:rsidR="00781186" w:rsidRPr="00E3754A" w:rsidRDefault="00781186" w:rsidP="00781186">
      <w:pPr>
        <w:pStyle w:val="NoSpacing"/>
        <w:numPr>
          <w:ilvl w:val="0"/>
          <w:numId w:val="29"/>
        </w:numPr>
        <w:rPr>
          <w:lang w:val="en-AU"/>
        </w:rPr>
      </w:pPr>
      <w:r w:rsidRPr="00E3754A">
        <w:rPr>
          <w:lang w:val="en-AU"/>
        </w:rPr>
        <w:t>Legislative change to make provisions for supported decision-making practices, including:</w:t>
      </w:r>
    </w:p>
    <w:p w14:paraId="31ABAD14" w14:textId="77777777" w:rsidR="00781186" w:rsidRPr="00E3754A" w:rsidRDefault="00781186" w:rsidP="00781186">
      <w:pPr>
        <w:pStyle w:val="NoSpacing"/>
        <w:numPr>
          <w:ilvl w:val="1"/>
          <w:numId w:val="29"/>
        </w:numPr>
        <w:rPr>
          <w:lang w:val="en-AU"/>
        </w:rPr>
      </w:pPr>
      <w:r w:rsidRPr="00E3754A">
        <w:rPr>
          <w:lang w:val="en-AU"/>
        </w:rPr>
        <w:t>Legislative change to grant rights to access supported decision-making (as in the case of Scotland).</w:t>
      </w:r>
    </w:p>
    <w:p w14:paraId="221BA4FF" w14:textId="77777777" w:rsidR="00781186" w:rsidRPr="00E3754A" w:rsidRDefault="00781186" w:rsidP="00781186">
      <w:pPr>
        <w:pStyle w:val="NoSpacing"/>
        <w:numPr>
          <w:ilvl w:val="1"/>
          <w:numId w:val="29"/>
        </w:numPr>
        <w:rPr>
          <w:lang w:val="en-AU"/>
        </w:rPr>
      </w:pPr>
      <w:r w:rsidRPr="00E3754A">
        <w:rPr>
          <w:lang w:val="en-AU"/>
        </w:rPr>
        <w:t>Legislative change to provide formal supported decision-making options, including microboards (British Columbia, Canada), co-decision-making arrangements (Saskatchewan, Canada), personal mentors or administrators (Sweden), or other recognised supporter roles (Delaware, USA; Texas, USA).</w:t>
      </w:r>
    </w:p>
    <w:p w14:paraId="19957E1D" w14:textId="77777777" w:rsidR="00781186" w:rsidRPr="00E3754A" w:rsidRDefault="00781186" w:rsidP="00781186">
      <w:pPr>
        <w:pStyle w:val="NoSpacing"/>
        <w:numPr>
          <w:ilvl w:val="1"/>
          <w:numId w:val="29"/>
        </w:numPr>
        <w:rPr>
          <w:lang w:val="en-AU"/>
        </w:rPr>
      </w:pPr>
      <w:r w:rsidRPr="00E3754A">
        <w:rPr>
          <w:lang w:val="en-AU"/>
        </w:rPr>
        <w:t>Legislative change to provide formal monitoring options for safeguarding supported decision-making arrangements (British Columbia, Canada).</w:t>
      </w:r>
    </w:p>
    <w:p w14:paraId="1713F036" w14:textId="77777777" w:rsidR="00781186" w:rsidRPr="00E3754A" w:rsidRDefault="00781186" w:rsidP="00781186">
      <w:pPr>
        <w:pStyle w:val="NoSpacing"/>
        <w:numPr>
          <w:ilvl w:val="1"/>
          <w:numId w:val="29"/>
        </w:numPr>
        <w:rPr>
          <w:lang w:val="en-AU"/>
        </w:rPr>
      </w:pPr>
      <w:r w:rsidRPr="00E3754A">
        <w:rPr>
          <w:lang w:val="en-AU"/>
        </w:rPr>
        <w:t>Legislative change to make provisions for formal support agreements (for example Representation Agreements in British Columbia, Canada).</w:t>
      </w:r>
    </w:p>
    <w:p w14:paraId="72F2FAA4" w14:textId="77777777" w:rsidR="00781186" w:rsidRPr="00E3754A" w:rsidRDefault="00781186" w:rsidP="00781186">
      <w:pPr>
        <w:pStyle w:val="NoSpacing"/>
        <w:numPr>
          <w:ilvl w:val="0"/>
          <w:numId w:val="29"/>
        </w:numPr>
        <w:rPr>
          <w:lang w:val="en-AU"/>
        </w:rPr>
      </w:pPr>
      <w:r w:rsidRPr="00E3754A">
        <w:rPr>
          <w:lang w:val="en-AU"/>
        </w:rPr>
        <w:t>Provisions for support in practice or pilot programs, including:</w:t>
      </w:r>
    </w:p>
    <w:p w14:paraId="6E865A2A" w14:textId="77777777" w:rsidR="00781186" w:rsidRPr="00E3754A" w:rsidRDefault="00781186" w:rsidP="00781186">
      <w:pPr>
        <w:pStyle w:val="NoSpacing"/>
        <w:numPr>
          <w:ilvl w:val="1"/>
          <w:numId w:val="29"/>
        </w:numPr>
        <w:rPr>
          <w:lang w:val="en-AU"/>
        </w:rPr>
      </w:pPr>
      <w:r w:rsidRPr="00E3754A">
        <w:rPr>
          <w:lang w:val="en-AU"/>
        </w:rPr>
        <w:t>Enabling advance support decisions made in statements (pilot program, South Australia, Australia).</w:t>
      </w:r>
    </w:p>
    <w:p w14:paraId="333DEF60" w14:textId="77777777" w:rsidR="00781186" w:rsidRPr="00E3754A" w:rsidRDefault="00781186" w:rsidP="00781186">
      <w:pPr>
        <w:pStyle w:val="NoSpacing"/>
        <w:numPr>
          <w:ilvl w:val="1"/>
          <w:numId w:val="29"/>
        </w:numPr>
        <w:rPr>
          <w:lang w:val="en-AU"/>
        </w:rPr>
      </w:pPr>
      <w:r w:rsidRPr="00E3754A">
        <w:rPr>
          <w:lang w:val="en-AU"/>
        </w:rPr>
        <w:t>Making supporters in the form of advocates available for individual and/or decision-specific assistance (Scotland; Victoria, Australia).</w:t>
      </w:r>
    </w:p>
    <w:p w14:paraId="6A1501ED" w14:textId="77777777" w:rsidR="00781186" w:rsidRPr="00E3754A" w:rsidRDefault="00781186" w:rsidP="00781186">
      <w:pPr>
        <w:pStyle w:val="NoSpacing"/>
        <w:numPr>
          <w:ilvl w:val="1"/>
          <w:numId w:val="29"/>
        </w:numPr>
        <w:rPr>
          <w:lang w:val="en-AU"/>
        </w:rPr>
      </w:pPr>
      <w:r w:rsidRPr="00E3754A">
        <w:rPr>
          <w:lang w:val="en-AU"/>
        </w:rPr>
        <w:t>Making supporters in the form of advocates available for taking initiatives towards addressing structural obstacles that impact on the exercise of legal capacity (Scotland; Victoria, Australia).</w:t>
      </w:r>
    </w:p>
    <w:p w14:paraId="42F7C8F3" w14:textId="77777777" w:rsidR="00781186" w:rsidRPr="00E3754A" w:rsidRDefault="00781186" w:rsidP="00781186">
      <w:pPr>
        <w:pStyle w:val="NoSpacing"/>
        <w:numPr>
          <w:ilvl w:val="1"/>
          <w:numId w:val="29"/>
        </w:numPr>
        <w:rPr>
          <w:lang w:val="en-AU"/>
        </w:rPr>
      </w:pPr>
      <w:r w:rsidRPr="00E3754A">
        <w:rPr>
          <w:lang w:val="en-AU"/>
        </w:rPr>
        <w:t>Providing information for supporters and supported people on making decisions, factors to consider, and organising formal supported decision-making arrangements (Nidus Personal Planning Resource Centre, Canada; Scotland; Victoria, Australia).</w:t>
      </w:r>
    </w:p>
    <w:p w14:paraId="36E4E2AD" w14:textId="77777777" w:rsidR="00781186" w:rsidRPr="00E3754A" w:rsidRDefault="00781186" w:rsidP="00781186">
      <w:pPr>
        <w:pStyle w:val="NoSpacing"/>
        <w:numPr>
          <w:ilvl w:val="0"/>
          <w:numId w:val="29"/>
        </w:numPr>
        <w:rPr>
          <w:lang w:val="en-AU"/>
        </w:rPr>
      </w:pPr>
      <w:r w:rsidRPr="00E3754A">
        <w:rPr>
          <w:lang w:val="en-AU"/>
        </w:rPr>
        <w:t>Practice restrictions on the use and frequency of involuntary treatment and detention (Victoria, Australia).</w:t>
      </w:r>
    </w:p>
    <w:p w14:paraId="05D8DCDF" w14:textId="6A2CDF07" w:rsidR="00781186" w:rsidRPr="00E3754A" w:rsidRDefault="00781186" w:rsidP="00781186">
      <w:pPr>
        <w:pStyle w:val="NoSpacing"/>
        <w:rPr>
          <w:lang w:val="en-AU"/>
        </w:rPr>
      </w:pPr>
      <w:r w:rsidRPr="00E3754A">
        <w:rPr>
          <w:lang w:val="en-AU"/>
        </w:rPr>
        <w:t>However</w:t>
      </w:r>
      <w:r w:rsidR="006C1F6F">
        <w:rPr>
          <w:lang w:val="en-AU"/>
        </w:rPr>
        <w:t>,</w:t>
      </w:r>
      <w:r w:rsidRPr="00E3754A">
        <w:rPr>
          <w:lang w:val="en-AU"/>
        </w:rPr>
        <w:t xml:space="preserve"> it is important to note that no states parties have fully given effect to Article 12, in line with the interpretation </w:t>
      </w:r>
      <w:r>
        <w:rPr>
          <w:lang w:val="en-AU"/>
        </w:rPr>
        <w:t>proffered</w:t>
      </w:r>
      <w:r w:rsidRPr="00E3754A">
        <w:rPr>
          <w:lang w:val="en-AU"/>
        </w:rPr>
        <w:t xml:space="preserve"> by the Committee on the Rights of Persons with Disabilities</w:t>
      </w:r>
      <w:r>
        <w:rPr>
          <w:lang w:val="en-AU"/>
        </w:rPr>
        <w:t>,</w:t>
      </w:r>
      <w:r w:rsidRPr="00E3754A">
        <w:rPr>
          <w:lang w:val="en-AU"/>
        </w:rPr>
        <w:t xml:space="preserve"> as a result of their efforts to comply with the United Nations Convention on the Rights of Persons with Disabilities.</w:t>
      </w:r>
    </w:p>
    <w:tbl>
      <w:tblPr>
        <w:tblStyle w:val="Style5"/>
        <w:tblW w:w="5000" w:type="pct"/>
        <w:tblLook w:val="04A0" w:firstRow="1" w:lastRow="0" w:firstColumn="1" w:lastColumn="0" w:noHBand="0" w:noVBand="1"/>
      </w:tblPr>
      <w:tblGrid>
        <w:gridCol w:w="9236"/>
      </w:tblGrid>
      <w:tr w:rsidR="00781186" w:rsidRPr="00E3754A" w14:paraId="2647CEA4" w14:textId="77777777" w:rsidTr="000E105D">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6B9DF834" w14:textId="77777777" w:rsidR="00781186" w:rsidRPr="00E3754A" w:rsidRDefault="00781186" w:rsidP="000E105D">
            <w:pPr>
              <w:pStyle w:val="Heading3"/>
              <w:rPr>
                <w:lang w:val="en-AU"/>
              </w:rPr>
            </w:pPr>
            <w:bookmarkStart w:id="15" w:name="_Toc339021651"/>
            <w:bookmarkStart w:id="16" w:name="_Toc339036838"/>
            <w:r w:rsidRPr="00E3754A">
              <w:rPr>
                <w:lang w:val="en-AU"/>
              </w:rPr>
              <w:t>Challenges to giving effect to Article 12 in law, policy, and practice</w:t>
            </w:r>
            <w:bookmarkEnd w:id="15"/>
            <w:bookmarkEnd w:id="16"/>
          </w:p>
        </w:tc>
      </w:tr>
    </w:tbl>
    <w:p w14:paraId="2BCF24D9" w14:textId="5674F5E5" w:rsidR="00781186" w:rsidRPr="00E3754A" w:rsidRDefault="00781186" w:rsidP="00781186">
      <w:pPr>
        <w:pStyle w:val="NoSpacing"/>
        <w:rPr>
          <w:lang w:val="en-AU"/>
        </w:rPr>
      </w:pPr>
      <w:r w:rsidRPr="00E3754A">
        <w:rPr>
          <w:lang w:val="en-AU"/>
        </w:rPr>
        <w:t xml:space="preserve">A number of challenges have been identified in the literature as having the potential to derail states parties efforts to give effect to Article 12 and embed supported decision-making within their particular jurisdictions. These challenges include: outdated understandings and perceptions of disability and their subsequent impact on the treatment of disabled people; ensuring supporters are trained to provide effective support, given the limited resources available; the complex and subjective process of obtaining people’s will and preferences; system and service issues that frustrate the realisation of disabled persons’ will and preference; the tendency to favour risk-avoidance and paternalistic intervention; implementing robust and appropriate safeguards; and disabled people often having limited or absent close support networks who could provide support </w:t>
      </w:r>
      <w:r>
        <w:rPr>
          <w:lang w:val="en-AU"/>
        </w:rPr>
        <w:t>with</w:t>
      </w:r>
      <w:r w:rsidRPr="00E3754A">
        <w:rPr>
          <w:lang w:val="en-AU"/>
        </w:rPr>
        <w:t xml:space="preserve"> decision-making.</w:t>
      </w:r>
    </w:p>
    <w:tbl>
      <w:tblPr>
        <w:tblStyle w:val="Style5"/>
        <w:tblW w:w="5000" w:type="pct"/>
        <w:tblLook w:val="04A0" w:firstRow="1" w:lastRow="0" w:firstColumn="1" w:lastColumn="0" w:noHBand="0" w:noVBand="1"/>
      </w:tblPr>
      <w:tblGrid>
        <w:gridCol w:w="9236"/>
      </w:tblGrid>
      <w:tr w:rsidR="00781186" w:rsidRPr="00E3754A" w14:paraId="63F2B77E" w14:textId="77777777" w:rsidTr="000E105D">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44C5664F" w14:textId="77777777" w:rsidR="00781186" w:rsidRPr="00E3754A" w:rsidRDefault="00781186" w:rsidP="000E105D">
            <w:pPr>
              <w:pStyle w:val="Heading3"/>
              <w:rPr>
                <w:lang w:val="en-AU"/>
              </w:rPr>
            </w:pPr>
            <w:bookmarkStart w:id="17" w:name="_Toc339021652"/>
            <w:bookmarkStart w:id="18" w:name="_Toc339036839"/>
            <w:r w:rsidRPr="00E3754A">
              <w:rPr>
                <w:lang w:val="en-AU"/>
              </w:rPr>
              <w:t>Gaps in the literature</w:t>
            </w:r>
            <w:bookmarkEnd w:id="17"/>
            <w:bookmarkEnd w:id="18"/>
          </w:p>
        </w:tc>
      </w:tr>
    </w:tbl>
    <w:p w14:paraId="717651F5" w14:textId="5F719243" w:rsidR="00781186" w:rsidRPr="00E3754A" w:rsidRDefault="00781186" w:rsidP="00781186">
      <w:pPr>
        <w:pStyle w:val="NoSpacing"/>
        <w:rPr>
          <w:lang w:val="en-AU"/>
        </w:rPr>
      </w:pPr>
      <w:r>
        <w:rPr>
          <w:lang w:val="en-AU"/>
        </w:rPr>
        <w:t>Discourse</w:t>
      </w:r>
      <w:r w:rsidRPr="00E3754A">
        <w:rPr>
          <w:lang w:val="en-AU"/>
        </w:rPr>
        <w:t xml:space="preserve"> in the literature about the process of giving effect to Article 12 highlights </w:t>
      </w:r>
      <w:r>
        <w:rPr>
          <w:lang w:val="en-AU"/>
        </w:rPr>
        <w:t xml:space="preserve">a </w:t>
      </w:r>
      <w:r w:rsidRPr="00E3754A">
        <w:rPr>
          <w:lang w:val="en-AU"/>
        </w:rPr>
        <w:t>number of issues of contention. Debates remain about how to identify and manage situations whereby a person’s will and preferences conflict internally. There are differing opinions about how to determine and how to respond when disabled people and their supporters have conflicting will and preference. More significantly, there are gaps in empirical research to guide and inform legislative change and guide policy</w:t>
      </w:r>
      <w:r w:rsidR="00F27508">
        <w:rPr>
          <w:lang w:val="en-AU"/>
        </w:rPr>
        <w:t>,</w:t>
      </w:r>
      <w:r w:rsidRPr="00E3754A">
        <w:rPr>
          <w:lang w:val="en-AU"/>
        </w:rPr>
        <w:t xml:space="preserve"> and practice related to supported decision-making. There is also a critical need for well-considered and substantial safeguards </w:t>
      </w:r>
      <w:r w:rsidR="00B1621D">
        <w:rPr>
          <w:lang w:val="en-AU"/>
        </w:rPr>
        <w:t>that</w:t>
      </w:r>
      <w:r w:rsidRPr="00E3754A">
        <w:rPr>
          <w:lang w:val="en-AU"/>
        </w:rPr>
        <w:t xml:space="preserve"> are designed to protect both disabled people and their supporters.</w:t>
      </w:r>
    </w:p>
    <w:p w14:paraId="63332780" w14:textId="600A30AD" w:rsidR="00781186" w:rsidRPr="00E3754A" w:rsidRDefault="00781186" w:rsidP="00781186">
      <w:pPr>
        <w:pStyle w:val="NoSpacing"/>
        <w:rPr>
          <w:lang w:val="en-AU"/>
        </w:rPr>
      </w:pPr>
      <w:r w:rsidRPr="00E3754A">
        <w:rPr>
          <w:lang w:val="en-AU"/>
        </w:rPr>
        <w:t xml:space="preserve">With regard to resources, and beyond the signalled need </w:t>
      </w:r>
      <w:r>
        <w:rPr>
          <w:lang w:val="en-AU"/>
        </w:rPr>
        <w:t>that could be used to</w:t>
      </w:r>
      <w:r w:rsidRPr="00E3754A">
        <w:rPr>
          <w:lang w:val="en-AU"/>
        </w:rPr>
        <w:t xml:space="preserve"> provide better resources to best facili</w:t>
      </w:r>
      <w:r w:rsidR="006C1F6F">
        <w:rPr>
          <w:lang w:val="en-AU"/>
        </w:rPr>
        <w:t>t</w:t>
      </w:r>
      <w:r w:rsidRPr="00E3754A">
        <w:rPr>
          <w:lang w:val="en-AU"/>
        </w:rPr>
        <w:t xml:space="preserve">ate decision-making, the literature is unclear about the </w:t>
      </w:r>
      <w:r>
        <w:rPr>
          <w:lang w:val="en-AU"/>
        </w:rPr>
        <w:t>specific</w:t>
      </w:r>
      <w:r w:rsidRPr="00E3754A">
        <w:rPr>
          <w:lang w:val="en-AU"/>
        </w:rPr>
        <w:t xml:space="preserve"> ways in which resources should be provided and distributed for supported decision-making.</w:t>
      </w:r>
    </w:p>
    <w:p w14:paraId="3C7F5150" w14:textId="2304FAD8" w:rsidR="00781186" w:rsidRPr="00E3754A" w:rsidRDefault="00781186" w:rsidP="00781186">
      <w:pPr>
        <w:pStyle w:val="NoSpacing"/>
        <w:rPr>
          <w:lang w:val="en-AU"/>
        </w:rPr>
      </w:pPr>
      <w:r w:rsidRPr="00E3754A">
        <w:rPr>
          <w:lang w:val="en-AU"/>
        </w:rPr>
        <w:t>The review also identified an acute lack of evidence to guide legislative change related to Article 12, to underpin and inform policy</w:t>
      </w:r>
      <w:r w:rsidR="00F27508">
        <w:rPr>
          <w:lang w:val="en-AU"/>
        </w:rPr>
        <w:t>,</w:t>
      </w:r>
      <w:r w:rsidRPr="00E3754A">
        <w:rPr>
          <w:lang w:val="en-AU"/>
        </w:rPr>
        <w:t xml:space="preserve"> and practice related to supported decision-making. Of particular note is an absence of the experiences and perceptions of disabled people within the body of information available. It is also apparent that there is a lack of robust evidence about the level of resourcing required to embed supported decision-making in the lives of </w:t>
      </w:r>
      <w:r w:rsidRPr="00E3754A">
        <w:rPr>
          <w:i/>
          <w:lang w:val="en-AU"/>
        </w:rPr>
        <w:t>all</w:t>
      </w:r>
      <w:r w:rsidRPr="00E3754A">
        <w:rPr>
          <w:lang w:val="en-AU"/>
        </w:rPr>
        <w:t xml:space="preserve"> disabled people, including who should provide, and who should receive such resourcing.</w:t>
      </w:r>
    </w:p>
    <w:tbl>
      <w:tblPr>
        <w:tblStyle w:val="Style5"/>
        <w:tblW w:w="5000" w:type="pct"/>
        <w:tblLook w:val="04A0" w:firstRow="1" w:lastRow="0" w:firstColumn="1" w:lastColumn="0" w:noHBand="0" w:noVBand="1"/>
      </w:tblPr>
      <w:tblGrid>
        <w:gridCol w:w="9236"/>
      </w:tblGrid>
      <w:tr w:rsidR="00781186" w:rsidRPr="00E3754A" w14:paraId="0D898B73" w14:textId="77777777" w:rsidTr="000E105D">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7B5F2E8B" w14:textId="6E67D39B" w:rsidR="00781186" w:rsidRPr="00E3754A" w:rsidRDefault="00781186" w:rsidP="000E105D">
            <w:pPr>
              <w:pStyle w:val="Heading3"/>
              <w:rPr>
                <w:lang w:val="en-AU"/>
              </w:rPr>
            </w:pPr>
            <w:bookmarkStart w:id="19" w:name="_Toc339021653"/>
            <w:bookmarkStart w:id="20" w:name="_Toc339036840"/>
            <w:r w:rsidRPr="00E3754A">
              <w:rPr>
                <w:lang w:val="en-AU"/>
              </w:rPr>
              <w:t>Future challenges</w:t>
            </w:r>
            <w:bookmarkEnd w:id="19"/>
            <w:bookmarkEnd w:id="20"/>
          </w:p>
        </w:tc>
      </w:tr>
    </w:tbl>
    <w:p w14:paraId="70B7857A" w14:textId="004DB930" w:rsidR="00781186" w:rsidRPr="00E3754A" w:rsidRDefault="00781186" w:rsidP="00781186">
      <w:pPr>
        <w:pStyle w:val="NoSpacing"/>
        <w:rPr>
          <w:lang w:val="en-AU"/>
        </w:rPr>
      </w:pPr>
      <w:r w:rsidRPr="00E3754A">
        <w:rPr>
          <w:lang w:val="en-AU"/>
        </w:rPr>
        <w:t xml:space="preserve">Available literature has evidenced that states parties have often taken </w:t>
      </w:r>
      <w:r>
        <w:rPr>
          <w:lang w:val="en-AU"/>
        </w:rPr>
        <w:t>a conservative</w:t>
      </w:r>
      <w:r w:rsidRPr="00E3754A">
        <w:rPr>
          <w:lang w:val="en-AU"/>
        </w:rPr>
        <w:t xml:space="preserve"> position</w:t>
      </w:r>
      <w:r>
        <w:rPr>
          <w:lang w:val="en-AU"/>
        </w:rPr>
        <w:t xml:space="preserve"> on the implementation of Article 12</w:t>
      </w:r>
      <w:r w:rsidRPr="00E3754A">
        <w:rPr>
          <w:lang w:val="en-AU"/>
        </w:rPr>
        <w:t xml:space="preserve">; that is they </w:t>
      </w:r>
      <w:r w:rsidRPr="00BA7D86">
        <w:rPr>
          <w:lang w:val="en-AU"/>
        </w:rPr>
        <w:t>perceive</w:t>
      </w:r>
      <w:r w:rsidRPr="00E3754A">
        <w:rPr>
          <w:lang w:val="en-AU"/>
        </w:rPr>
        <w:t xml:space="preserve"> substituted decision-making (and thus involuntary treatment or detention) as sometimes being necessary in last resort and extreme cases, and </w:t>
      </w:r>
      <w:r>
        <w:rPr>
          <w:lang w:val="en-AU"/>
        </w:rPr>
        <w:t xml:space="preserve">consequently </w:t>
      </w:r>
      <w:r w:rsidRPr="00E3754A">
        <w:rPr>
          <w:lang w:val="en-AU"/>
        </w:rPr>
        <w:t>have developed supported decision-making initiatives alongside the traditional paradigm of substituted decision-making. In considering the literature in relation to the questions upon which this review is based it is apparent that considerable tension exists in relation to how to interpret the wider intent of Article 12 of the United Nations Convention on the Rights of Persons with Disabilities, and consequently, how states parties should proceed to implement it in legislation, policy</w:t>
      </w:r>
      <w:r w:rsidR="00F27508">
        <w:rPr>
          <w:lang w:val="en-AU"/>
        </w:rPr>
        <w:t>,</w:t>
      </w:r>
      <w:r w:rsidRPr="00E3754A">
        <w:rPr>
          <w:lang w:val="en-AU"/>
        </w:rPr>
        <w:t xml:space="preserve"> and practice. While there are robust and well-considered arguments emerging from both sides of the debate, to date, no states parties have implemented the required level of legislative, policy</w:t>
      </w:r>
      <w:r w:rsidR="00F27508">
        <w:rPr>
          <w:lang w:val="en-AU"/>
        </w:rPr>
        <w:t>,</w:t>
      </w:r>
      <w:r w:rsidRPr="00E3754A">
        <w:rPr>
          <w:lang w:val="en-AU"/>
        </w:rPr>
        <w:t xml:space="preserve"> and practice change for their efforts to be recognised as giving full expression to Article 12, according to the Committee on the Rights of Persons with Disabilities’s interpretation of Article 12. As the ultimate arbiter of the Convention, it is clear that to achieve this goal states parties would need to accept the Committee’s interpretation, be prepared to undertake significant change to legislation, policy</w:t>
      </w:r>
      <w:r w:rsidR="00F27508">
        <w:rPr>
          <w:lang w:val="en-AU"/>
        </w:rPr>
        <w:t>,</w:t>
      </w:r>
      <w:r w:rsidRPr="00E3754A">
        <w:rPr>
          <w:lang w:val="en-AU"/>
        </w:rPr>
        <w:t xml:space="preserve"> and practice, and expend time and effort to identify, develop and embed supported decision-making processes and the necessary safeguards for both disabled people and their supporters. </w:t>
      </w:r>
    </w:p>
    <w:p w14:paraId="10462CC1" w14:textId="77777777" w:rsidR="006A4D24" w:rsidRDefault="006A4D24" w:rsidP="006A4DC7">
      <w:pPr>
        <w:pStyle w:val="NoSpacing"/>
        <w:rPr>
          <w:lang w:val="en-AU"/>
        </w:rPr>
      </w:pPr>
    </w:p>
    <w:p w14:paraId="1D9335B5" w14:textId="77777777" w:rsidR="00781186" w:rsidRDefault="00781186" w:rsidP="006A4DC7">
      <w:pPr>
        <w:pStyle w:val="NoSpacing"/>
        <w:rPr>
          <w:lang w:val="en-AU"/>
        </w:rPr>
      </w:pPr>
    </w:p>
    <w:p w14:paraId="750441BF" w14:textId="59306AF7" w:rsidR="009C5ABC" w:rsidRPr="00E3754A" w:rsidRDefault="009C5ABC">
      <w:pPr>
        <w:spacing w:line="240" w:lineRule="auto"/>
        <w:jc w:val="left"/>
        <w:rPr>
          <w:lang w:val="en-AU"/>
        </w:rPr>
      </w:pPr>
    </w:p>
    <w:bookmarkEnd w:id="2"/>
    <w:p w14:paraId="1B5126D2" w14:textId="1B3BA5E6" w:rsidR="006A4DC7" w:rsidRPr="00E3754A" w:rsidRDefault="006A4DC7" w:rsidP="00630A81">
      <w:pPr>
        <w:pStyle w:val="TOC1"/>
        <w:sectPr w:rsidR="006A4DC7" w:rsidRPr="00E3754A" w:rsidSect="004B2616">
          <w:footerReference w:type="even" r:id="rId10"/>
          <w:footerReference w:type="default" r:id="rId11"/>
          <w:pgSz w:w="11900" w:h="16840"/>
          <w:pgMar w:top="1440" w:right="1440" w:bottom="1440" w:left="1440" w:header="709" w:footer="709" w:gutter="0"/>
          <w:pgNumType w:fmt="upperRoman" w:start="1"/>
          <w:cols w:space="708"/>
          <w:titlePg/>
          <w:docGrid w:linePitch="360"/>
        </w:sectPr>
      </w:pPr>
    </w:p>
    <w:bookmarkStart w:id="21" w:name="_Toc339036841" w:displacedByCustomXml="next"/>
    <w:bookmarkStart w:id="22" w:name="_Toc339021654" w:displacedByCustomXml="next"/>
    <w:sdt>
      <w:sdtPr>
        <w:rPr>
          <w:rFonts w:eastAsiaTheme="minorEastAsia" w:cstheme="minorBidi"/>
          <w:bCs w:val="0"/>
          <w:color w:val="auto"/>
          <w:sz w:val="22"/>
          <w:szCs w:val="22"/>
        </w:rPr>
        <w:id w:val="-13225431"/>
        <w:docPartObj>
          <w:docPartGallery w:val="Table of Contents"/>
          <w:docPartUnique/>
        </w:docPartObj>
      </w:sdtPr>
      <w:sdtEndPr>
        <w:rPr>
          <w:noProof/>
        </w:rPr>
      </w:sdtEndPr>
      <w:sdtContent>
        <w:bookmarkStart w:id="23" w:name="_Toc339021107" w:displacedByCustomXml="prev"/>
        <w:tbl>
          <w:tblPr>
            <w:tblStyle w:val="TableGrid"/>
            <w:tblW w:w="5000" w:type="pct"/>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Look w:val="04A0" w:firstRow="1" w:lastRow="0" w:firstColumn="1" w:lastColumn="0" w:noHBand="0" w:noVBand="1"/>
          </w:tblPr>
          <w:tblGrid>
            <w:gridCol w:w="9236"/>
          </w:tblGrid>
          <w:tr w:rsidR="00781186" w:rsidRPr="00E3754A" w14:paraId="694323F2" w14:textId="77777777" w:rsidTr="000E105D">
            <w:tc>
              <w:tcPr>
                <w:tcW w:w="5000" w:type="pct"/>
                <w:shd w:val="clear" w:color="auto" w:fill="DDE1E9"/>
              </w:tcPr>
              <w:p w14:paraId="5C7756A0" w14:textId="44A5BE17" w:rsidR="00781186" w:rsidRPr="00E3754A" w:rsidRDefault="00781186" w:rsidP="000E105D">
                <w:pPr>
                  <w:pStyle w:val="Heading1"/>
                  <w:rPr>
                    <w:lang w:val="en-AU"/>
                  </w:rPr>
                </w:pPr>
                <w:r w:rsidRPr="00A911CA">
                  <w:t>Table of Contents</w:t>
                </w:r>
                <w:bookmarkEnd w:id="22"/>
                <w:bookmarkEnd w:id="21"/>
              </w:p>
            </w:tc>
          </w:tr>
        </w:tbl>
        <w:bookmarkEnd w:id="23"/>
        <w:p w14:paraId="22B0CC6D" w14:textId="77777777" w:rsidR="005E42FD" w:rsidRDefault="00630A81">
          <w:pPr>
            <w:pStyle w:val="TOC1"/>
            <w:rPr>
              <w:rFonts w:asciiTheme="minorHAnsi" w:hAnsiTheme="minorHAnsi"/>
              <w:color w:val="auto"/>
              <w:sz w:val="24"/>
              <w:szCs w:val="24"/>
              <w:lang w:val="en-NZ" w:eastAsia="ja-JP"/>
            </w:rPr>
          </w:pPr>
          <w:r>
            <w:fldChar w:fldCharType="begin"/>
          </w:r>
          <w:r>
            <w:instrText xml:space="preserve"> TOC \o "1-3" </w:instrText>
          </w:r>
          <w:r>
            <w:fldChar w:fldCharType="separate"/>
          </w:r>
          <w:r w:rsidR="005E42FD" w:rsidRPr="000470B4">
            <w:t>Executive Summary</w:t>
          </w:r>
          <w:r w:rsidR="005E42FD">
            <w:tab/>
          </w:r>
          <w:r w:rsidR="005E42FD">
            <w:fldChar w:fldCharType="begin"/>
          </w:r>
          <w:r w:rsidR="005E42FD">
            <w:instrText xml:space="preserve"> PAGEREF _Toc339036833 \h </w:instrText>
          </w:r>
          <w:r w:rsidR="005E42FD">
            <w:fldChar w:fldCharType="separate"/>
          </w:r>
          <w:r w:rsidR="005E42FD">
            <w:t>IV</w:t>
          </w:r>
          <w:r w:rsidR="005E42FD">
            <w:fldChar w:fldCharType="end"/>
          </w:r>
        </w:p>
        <w:p w14:paraId="739F449E"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Setting the scene</w:t>
          </w:r>
          <w:r>
            <w:rPr>
              <w:noProof/>
            </w:rPr>
            <w:tab/>
          </w:r>
          <w:r>
            <w:rPr>
              <w:noProof/>
            </w:rPr>
            <w:fldChar w:fldCharType="begin"/>
          </w:r>
          <w:r>
            <w:rPr>
              <w:noProof/>
            </w:rPr>
            <w:instrText xml:space="preserve"> PAGEREF _Toc339036834 \h </w:instrText>
          </w:r>
          <w:r>
            <w:rPr>
              <w:noProof/>
            </w:rPr>
          </w:r>
          <w:r>
            <w:rPr>
              <w:noProof/>
            </w:rPr>
            <w:fldChar w:fldCharType="separate"/>
          </w:r>
          <w:r>
            <w:rPr>
              <w:noProof/>
            </w:rPr>
            <w:t>IV</w:t>
          </w:r>
          <w:r>
            <w:rPr>
              <w:noProof/>
            </w:rPr>
            <w:fldChar w:fldCharType="end"/>
          </w:r>
        </w:p>
        <w:p w14:paraId="40184521"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Remaining tensions concerning Article 12</w:t>
          </w:r>
          <w:r>
            <w:rPr>
              <w:noProof/>
            </w:rPr>
            <w:tab/>
          </w:r>
          <w:r>
            <w:rPr>
              <w:noProof/>
            </w:rPr>
            <w:fldChar w:fldCharType="begin"/>
          </w:r>
          <w:r>
            <w:rPr>
              <w:noProof/>
            </w:rPr>
            <w:instrText xml:space="preserve"> PAGEREF _Toc339036835 \h </w:instrText>
          </w:r>
          <w:r>
            <w:rPr>
              <w:noProof/>
            </w:rPr>
          </w:r>
          <w:r>
            <w:rPr>
              <w:noProof/>
            </w:rPr>
            <w:fldChar w:fldCharType="separate"/>
          </w:r>
          <w:r>
            <w:rPr>
              <w:noProof/>
            </w:rPr>
            <w:t>V</w:t>
          </w:r>
          <w:r>
            <w:rPr>
              <w:noProof/>
            </w:rPr>
            <w:fldChar w:fldCharType="end"/>
          </w:r>
        </w:p>
        <w:p w14:paraId="7E20D3D5"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Who are we talking about?</w:t>
          </w:r>
          <w:r>
            <w:rPr>
              <w:noProof/>
            </w:rPr>
            <w:tab/>
          </w:r>
          <w:r>
            <w:rPr>
              <w:noProof/>
            </w:rPr>
            <w:fldChar w:fldCharType="begin"/>
          </w:r>
          <w:r>
            <w:rPr>
              <w:noProof/>
            </w:rPr>
            <w:instrText xml:space="preserve"> PAGEREF _Toc339036836 \h </w:instrText>
          </w:r>
          <w:r>
            <w:rPr>
              <w:noProof/>
            </w:rPr>
          </w:r>
          <w:r>
            <w:rPr>
              <w:noProof/>
            </w:rPr>
            <w:fldChar w:fldCharType="separate"/>
          </w:r>
          <w:r>
            <w:rPr>
              <w:noProof/>
            </w:rPr>
            <w:t>VI</w:t>
          </w:r>
          <w:r>
            <w:rPr>
              <w:noProof/>
            </w:rPr>
            <w:fldChar w:fldCharType="end"/>
          </w:r>
        </w:p>
        <w:p w14:paraId="4C6B9235"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Giving effect to Article 12 in law, policy, and practice</w:t>
          </w:r>
          <w:r>
            <w:rPr>
              <w:noProof/>
            </w:rPr>
            <w:tab/>
          </w:r>
          <w:r>
            <w:rPr>
              <w:noProof/>
            </w:rPr>
            <w:fldChar w:fldCharType="begin"/>
          </w:r>
          <w:r>
            <w:rPr>
              <w:noProof/>
            </w:rPr>
            <w:instrText xml:space="preserve"> PAGEREF _Toc339036837 \h </w:instrText>
          </w:r>
          <w:r>
            <w:rPr>
              <w:noProof/>
            </w:rPr>
          </w:r>
          <w:r>
            <w:rPr>
              <w:noProof/>
            </w:rPr>
            <w:fldChar w:fldCharType="separate"/>
          </w:r>
          <w:r>
            <w:rPr>
              <w:noProof/>
            </w:rPr>
            <w:t>VI</w:t>
          </w:r>
          <w:r>
            <w:rPr>
              <w:noProof/>
            </w:rPr>
            <w:fldChar w:fldCharType="end"/>
          </w:r>
        </w:p>
        <w:p w14:paraId="55D4D099"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Challenges to giving effect to Article 12 in law, policy, and practice</w:t>
          </w:r>
          <w:r>
            <w:rPr>
              <w:noProof/>
            </w:rPr>
            <w:tab/>
          </w:r>
          <w:r>
            <w:rPr>
              <w:noProof/>
            </w:rPr>
            <w:fldChar w:fldCharType="begin"/>
          </w:r>
          <w:r>
            <w:rPr>
              <w:noProof/>
            </w:rPr>
            <w:instrText xml:space="preserve"> PAGEREF _Toc339036838 \h </w:instrText>
          </w:r>
          <w:r>
            <w:rPr>
              <w:noProof/>
            </w:rPr>
          </w:r>
          <w:r>
            <w:rPr>
              <w:noProof/>
            </w:rPr>
            <w:fldChar w:fldCharType="separate"/>
          </w:r>
          <w:r>
            <w:rPr>
              <w:noProof/>
            </w:rPr>
            <w:t>VIII</w:t>
          </w:r>
          <w:r>
            <w:rPr>
              <w:noProof/>
            </w:rPr>
            <w:fldChar w:fldCharType="end"/>
          </w:r>
        </w:p>
        <w:p w14:paraId="60535326"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Gaps in the literature</w:t>
          </w:r>
          <w:r>
            <w:rPr>
              <w:noProof/>
            </w:rPr>
            <w:tab/>
          </w:r>
          <w:r>
            <w:rPr>
              <w:noProof/>
            </w:rPr>
            <w:fldChar w:fldCharType="begin"/>
          </w:r>
          <w:r>
            <w:rPr>
              <w:noProof/>
            </w:rPr>
            <w:instrText xml:space="preserve"> PAGEREF _Toc339036839 \h </w:instrText>
          </w:r>
          <w:r>
            <w:rPr>
              <w:noProof/>
            </w:rPr>
          </w:r>
          <w:r>
            <w:rPr>
              <w:noProof/>
            </w:rPr>
            <w:fldChar w:fldCharType="separate"/>
          </w:r>
          <w:r>
            <w:rPr>
              <w:noProof/>
            </w:rPr>
            <w:t>IX</w:t>
          </w:r>
          <w:r>
            <w:rPr>
              <w:noProof/>
            </w:rPr>
            <w:fldChar w:fldCharType="end"/>
          </w:r>
        </w:p>
        <w:p w14:paraId="77A9C346"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Future challenges</w:t>
          </w:r>
          <w:r>
            <w:rPr>
              <w:noProof/>
            </w:rPr>
            <w:tab/>
          </w:r>
          <w:r>
            <w:rPr>
              <w:noProof/>
            </w:rPr>
            <w:fldChar w:fldCharType="begin"/>
          </w:r>
          <w:r>
            <w:rPr>
              <w:noProof/>
            </w:rPr>
            <w:instrText xml:space="preserve"> PAGEREF _Toc339036840 \h </w:instrText>
          </w:r>
          <w:r>
            <w:rPr>
              <w:noProof/>
            </w:rPr>
          </w:r>
          <w:r>
            <w:rPr>
              <w:noProof/>
            </w:rPr>
            <w:fldChar w:fldCharType="separate"/>
          </w:r>
          <w:r>
            <w:rPr>
              <w:noProof/>
            </w:rPr>
            <w:t>IX</w:t>
          </w:r>
          <w:r>
            <w:rPr>
              <w:noProof/>
            </w:rPr>
            <w:fldChar w:fldCharType="end"/>
          </w:r>
        </w:p>
        <w:p w14:paraId="46B558E7" w14:textId="77777777" w:rsidR="005E42FD" w:rsidRDefault="005E42FD">
          <w:pPr>
            <w:pStyle w:val="TOC1"/>
            <w:rPr>
              <w:rFonts w:asciiTheme="minorHAnsi" w:hAnsiTheme="minorHAnsi"/>
              <w:color w:val="auto"/>
              <w:sz w:val="24"/>
              <w:szCs w:val="24"/>
              <w:lang w:val="en-NZ" w:eastAsia="ja-JP"/>
            </w:rPr>
          </w:pPr>
          <w:r>
            <w:t>Table of Contents</w:t>
          </w:r>
          <w:r>
            <w:tab/>
          </w:r>
          <w:r>
            <w:fldChar w:fldCharType="begin"/>
          </w:r>
          <w:r>
            <w:instrText xml:space="preserve"> PAGEREF _Toc339036841 \h </w:instrText>
          </w:r>
          <w:r>
            <w:fldChar w:fldCharType="separate"/>
          </w:r>
          <w:r>
            <w:t>1</w:t>
          </w:r>
          <w:r>
            <w:fldChar w:fldCharType="end"/>
          </w:r>
        </w:p>
        <w:p w14:paraId="36207527" w14:textId="77777777" w:rsidR="005E42FD" w:rsidRDefault="005E42FD">
          <w:pPr>
            <w:pStyle w:val="TOC1"/>
            <w:rPr>
              <w:rFonts w:asciiTheme="minorHAnsi" w:hAnsiTheme="minorHAnsi"/>
              <w:color w:val="auto"/>
              <w:sz w:val="24"/>
              <w:szCs w:val="24"/>
              <w:lang w:val="en-NZ" w:eastAsia="ja-JP"/>
            </w:rPr>
          </w:pPr>
          <w:r w:rsidRPr="000470B4">
            <w:t>Introduction</w:t>
          </w:r>
          <w:r>
            <w:tab/>
          </w:r>
          <w:r>
            <w:fldChar w:fldCharType="begin"/>
          </w:r>
          <w:r>
            <w:instrText xml:space="preserve"> PAGEREF _Toc339036842 \h </w:instrText>
          </w:r>
          <w:r>
            <w:fldChar w:fldCharType="separate"/>
          </w:r>
          <w:r>
            <w:t>3</w:t>
          </w:r>
          <w:r>
            <w:fldChar w:fldCharType="end"/>
          </w:r>
        </w:p>
        <w:p w14:paraId="163B2DD7" w14:textId="77777777" w:rsidR="005E42FD" w:rsidRDefault="005E42FD">
          <w:pPr>
            <w:pStyle w:val="TOC1"/>
            <w:rPr>
              <w:rFonts w:asciiTheme="minorHAnsi" w:hAnsiTheme="minorHAnsi"/>
              <w:color w:val="auto"/>
              <w:sz w:val="24"/>
              <w:szCs w:val="24"/>
              <w:lang w:val="en-NZ" w:eastAsia="ja-JP"/>
            </w:rPr>
          </w:pPr>
          <w:r w:rsidRPr="000470B4">
            <w:t>Part One: The Convention on the Rights of Persons with Disabilities – An overview</w:t>
          </w:r>
          <w:r>
            <w:tab/>
          </w:r>
          <w:r>
            <w:fldChar w:fldCharType="begin"/>
          </w:r>
          <w:r>
            <w:instrText xml:space="preserve"> PAGEREF _Toc339036843 \h </w:instrText>
          </w:r>
          <w:r>
            <w:fldChar w:fldCharType="separate"/>
          </w:r>
          <w:r>
            <w:t>7</w:t>
          </w:r>
          <w:r>
            <w:fldChar w:fldCharType="end"/>
          </w:r>
        </w:p>
        <w:p w14:paraId="775A4E52" w14:textId="77777777" w:rsidR="005E42FD" w:rsidRDefault="005E42FD">
          <w:pPr>
            <w:pStyle w:val="TOC1"/>
            <w:rPr>
              <w:rFonts w:asciiTheme="minorHAnsi" w:hAnsiTheme="minorHAnsi"/>
              <w:color w:val="auto"/>
              <w:sz w:val="24"/>
              <w:szCs w:val="24"/>
              <w:lang w:val="en-NZ" w:eastAsia="ja-JP"/>
            </w:rPr>
          </w:pPr>
          <w:r w:rsidRPr="000470B4">
            <w:t>Who does Article 12 relate to?</w:t>
          </w:r>
          <w:r>
            <w:tab/>
          </w:r>
          <w:r>
            <w:fldChar w:fldCharType="begin"/>
          </w:r>
          <w:r>
            <w:instrText xml:space="preserve"> PAGEREF _Toc339036844 \h </w:instrText>
          </w:r>
          <w:r>
            <w:fldChar w:fldCharType="separate"/>
          </w:r>
          <w:r>
            <w:t>10</w:t>
          </w:r>
          <w:r>
            <w:fldChar w:fldCharType="end"/>
          </w:r>
        </w:p>
        <w:p w14:paraId="5E7B88FD" w14:textId="77777777" w:rsidR="005E42FD" w:rsidRDefault="005E42FD">
          <w:pPr>
            <w:pStyle w:val="TOC1"/>
            <w:rPr>
              <w:rFonts w:asciiTheme="minorHAnsi" w:hAnsiTheme="minorHAnsi"/>
              <w:color w:val="auto"/>
              <w:sz w:val="24"/>
              <w:szCs w:val="24"/>
              <w:lang w:val="en-NZ" w:eastAsia="ja-JP"/>
            </w:rPr>
          </w:pPr>
          <w:r w:rsidRPr="000470B4">
            <w:t>A paradigm shift in the conceptualisation of legal and mental capacity</w:t>
          </w:r>
          <w:r>
            <w:tab/>
          </w:r>
          <w:r>
            <w:fldChar w:fldCharType="begin"/>
          </w:r>
          <w:r>
            <w:instrText xml:space="preserve"> PAGEREF _Toc339036845 \h </w:instrText>
          </w:r>
          <w:r>
            <w:fldChar w:fldCharType="separate"/>
          </w:r>
          <w:r>
            <w:t>12</w:t>
          </w:r>
          <w:r>
            <w:fldChar w:fldCharType="end"/>
          </w:r>
        </w:p>
        <w:p w14:paraId="44432CA6"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Legal and mental capacity in the context of the Convention</w:t>
          </w:r>
          <w:r>
            <w:rPr>
              <w:noProof/>
            </w:rPr>
            <w:tab/>
          </w:r>
          <w:r>
            <w:rPr>
              <w:noProof/>
            </w:rPr>
            <w:fldChar w:fldCharType="begin"/>
          </w:r>
          <w:r>
            <w:rPr>
              <w:noProof/>
            </w:rPr>
            <w:instrText xml:space="preserve"> PAGEREF _Toc339036846 \h </w:instrText>
          </w:r>
          <w:r>
            <w:rPr>
              <w:noProof/>
            </w:rPr>
          </w:r>
          <w:r>
            <w:rPr>
              <w:noProof/>
            </w:rPr>
            <w:fldChar w:fldCharType="separate"/>
          </w:r>
          <w:r>
            <w:rPr>
              <w:noProof/>
            </w:rPr>
            <w:t>15</w:t>
          </w:r>
          <w:r>
            <w:rPr>
              <w:noProof/>
            </w:rPr>
            <w:fldChar w:fldCharType="end"/>
          </w:r>
        </w:p>
        <w:p w14:paraId="6014B4DE"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The role of capacity assessment in the age of the Convention</w:t>
          </w:r>
          <w:r>
            <w:rPr>
              <w:noProof/>
            </w:rPr>
            <w:tab/>
          </w:r>
          <w:r>
            <w:rPr>
              <w:noProof/>
            </w:rPr>
            <w:fldChar w:fldCharType="begin"/>
          </w:r>
          <w:r>
            <w:rPr>
              <w:noProof/>
            </w:rPr>
            <w:instrText xml:space="preserve"> PAGEREF _Toc339036847 \h </w:instrText>
          </w:r>
          <w:r>
            <w:rPr>
              <w:noProof/>
            </w:rPr>
          </w:r>
          <w:r>
            <w:rPr>
              <w:noProof/>
            </w:rPr>
            <w:fldChar w:fldCharType="separate"/>
          </w:r>
          <w:r>
            <w:rPr>
              <w:noProof/>
            </w:rPr>
            <w:t>16</w:t>
          </w:r>
          <w:r>
            <w:rPr>
              <w:noProof/>
            </w:rPr>
            <w:fldChar w:fldCharType="end"/>
          </w:r>
        </w:p>
        <w:p w14:paraId="156B9D51"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Rights to legal standing versus rights to legal agency</w:t>
          </w:r>
          <w:r>
            <w:rPr>
              <w:noProof/>
            </w:rPr>
            <w:tab/>
          </w:r>
          <w:r>
            <w:rPr>
              <w:noProof/>
            </w:rPr>
            <w:fldChar w:fldCharType="begin"/>
          </w:r>
          <w:r>
            <w:rPr>
              <w:noProof/>
            </w:rPr>
            <w:instrText xml:space="preserve"> PAGEREF _Toc339036848 \h </w:instrText>
          </w:r>
          <w:r>
            <w:rPr>
              <w:noProof/>
            </w:rPr>
          </w:r>
          <w:r>
            <w:rPr>
              <w:noProof/>
            </w:rPr>
            <w:fldChar w:fldCharType="separate"/>
          </w:r>
          <w:r>
            <w:rPr>
              <w:noProof/>
            </w:rPr>
            <w:t>17</w:t>
          </w:r>
          <w:r>
            <w:rPr>
              <w:noProof/>
            </w:rPr>
            <w:fldChar w:fldCharType="end"/>
          </w:r>
        </w:p>
        <w:p w14:paraId="5C7ED8C8"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What can obstruct the realisation of a person’s legal capacity?</w:t>
          </w:r>
          <w:r>
            <w:rPr>
              <w:noProof/>
            </w:rPr>
            <w:tab/>
          </w:r>
          <w:r>
            <w:rPr>
              <w:noProof/>
            </w:rPr>
            <w:fldChar w:fldCharType="begin"/>
          </w:r>
          <w:r>
            <w:rPr>
              <w:noProof/>
            </w:rPr>
            <w:instrText xml:space="preserve"> PAGEREF _Toc339036849 \h </w:instrText>
          </w:r>
          <w:r>
            <w:rPr>
              <w:noProof/>
            </w:rPr>
          </w:r>
          <w:r>
            <w:rPr>
              <w:noProof/>
            </w:rPr>
            <w:fldChar w:fldCharType="separate"/>
          </w:r>
          <w:r>
            <w:rPr>
              <w:noProof/>
            </w:rPr>
            <w:t>19</w:t>
          </w:r>
          <w:r>
            <w:rPr>
              <w:noProof/>
            </w:rPr>
            <w:fldChar w:fldCharType="end"/>
          </w:r>
        </w:p>
        <w:p w14:paraId="094F5EE1" w14:textId="77777777" w:rsidR="005E42FD" w:rsidRDefault="005E42FD">
          <w:pPr>
            <w:pStyle w:val="TOC1"/>
            <w:rPr>
              <w:rFonts w:asciiTheme="minorHAnsi" w:hAnsiTheme="minorHAnsi"/>
              <w:color w:val="auto"/>
              <w:sz w:val="24"/>
              <w:szCs w:val="24"/>
              <w:lang w:val="en-NZ" w:eastAsia="ja-JP"/>
            </w:rPr>
          </w:pPr>
          <w:r w:rsidRPr="000470B4">
            <w:t>Paradigm shift from best interests to will and preference</w:t>
          </w:r>
          <w:r>
            <w:tab/>
          </w:r>
          <w:r>
            <w:fldChar w:fldCharType="begin"/>
          </w:r>
          <w:r>
            <w:instrText xml:space="preserve"> PAGEREF _Toc339036850 \h </w:instrText>
          </w:r>
          <w:r>
            <w:fldChar w:fldCharType="separate"/>
          </w:r>
          <w:r>
            <w:t>22</w:t>
          </w:r>
          <w:r>
            <w:fldChar w:fldCharType="end"/>
          </w:r>
        </w:p>
        <w:p w14:paraId="44F798A2"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Equal versus differential treatment under criminal law</w:t>
          </w:r>
          <w:r>
            <w:rPr>
              <w:noProof/>
            </w:rPr>
            <w:tab/>
          </w:r>
          <w:r>
            <w:rPr>
              <w:noProof/>
            </w:rPr>
            <w:fldChar w:fldCharType="begin"/>
          </w:r>
          <w:r>
            <w:rPr>
              <w:noProof/>
            </w:rPr>
            <w:instrText xml:space="preserve"> PAGEREF _Toc339036851 \h </w:instrText>
          </w:r>
          <w:r>
            <w:rPr>
              <w:noProof/>
            </w:rPr>
          </w:r>
          <w:r>
            <w:rPr>
              <w:noProof/>
            </w:rPr>
            <w:fldChar w:fldCharType="separate"/>
          </w:r>
          <w:r>
            <w:rPr>
              <w:noProof/>
            </w:rPr>
            <w:t>24</w:t>
          </w:r>
          <w:r>
            <w:rPr>
              <w:noProof/>
            </w:rPr>
            <w:fldChar w:fldCharType="end"/>
          </w:r>
        </w:p>
        <w:p w14:paraId="69A74FD9"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Obligations to protect vulnerable people</w:t>
          </w:r>
          <w:r>
            <w:rPr>
              <w:noProof/>
            </w:rPr>
            <w:tab/>
          </w:r>
          <w:r>
            <w:rPr>
              <w:noProof/>
            </w:rPr>
            <w:fldChar w:fldCharType="begin"/>
          </w:r>
          <w:r>
            <w:rPr>
              <w:noProof/>
            </w:rPr>
            <w:instrText xml:space="preserve"> PAGEREF _Toc339036852 \h </w:instrText>
          </w:r>
          <w:r>
            <w:rPr>
              <w:noProof/>
            </w:rPr>
          </w:r>
          <w:r>
            <w:rPr>
              <w:noProof/>
            </w:rPr>
            <w:fldChar w:fldCharType="separate"/>
          </w:r>
          <w:r>
            <w:rPr>
              <w:noProof/>
            </w:rPr>
            <w:t>25</w:t>
          </w:r>
          <w:r>
            <w:rPr>
              <w:noProof/>
            </w:rPr>
            <w:fldChar w:fldCharType="end"/>
          </w:r>
        </w:p>
        <w:p w14:paraId="52AF1F3B"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Can substituted decision-making continue in the age of the Convention?</w:t>
          </w:r>
          <w:r>
            <w:rPr>
              <w:noProof/>
            </w:rPr>
            <w:tab/>
          </w:r>
          <w:r>
            <w:rPr>
              <w:noProof/>
            </w:rPr>
            <w:fldChar w:fldCharType="begin"/>
          </w:r>
          <w:r>
            <w:rPr>
              <w:noProof/>
            </w:rPr>
            <w:instrText xml:space="preserve"> PAGEREF _Toc339036853 \h </w:instrText>
          </w:r>
          <w:r>
            <w:rPr>
              <w:noProof/>
            </w:rPr>
          </w:r>
          <w:r>
            <w:rPr>
              <w:noProof/>
            </w:rPr>
            <w:fldChar w:fldCharType="separate"/>
          </w:r>
          <w:r>
            <w:rPr>
              <w:noProof/>
            </w:rPr>
            <w:t>28</w:t>
          </w:r>
          <w:r>
            <w:rPr>
              <w:noProof/>
            </w:rPr>
            <w:fldChar w:fldCharType="end"/>
          </w:r>
        </w:p>
        <w:p w14:paraId="234E0DC0" w14:textId="77777777" w:rsidR="005E42FD" w:rsidRDefault="005E42FD">
          <w:pPr>
            <w:pStyle w:val="TOC1"/>
            <w:rPr>
              <w:rFonts w:asciiTheme="minorHAnsi" w:hAnsiTheme="minorHAnsi"/>
              <w:color w:val="auto"/>
              <w:sz w:val="24"/>
              <w:szCs w:val="24"/>
              <w:lang w:val="en-NZ" w:eastAsia="ja-JP"/>
            </w:rPr>
          </w:pPr>
          <w:r w:rsidRPr="000470B4">
            <w:t>The realisation of legal capacity through supported decision-making</w:t>
          </w:r>
          <w:r>
            <w:tab/>
          </w:r>
          <w:r>
            <w:fldChar w:fldCharType="begin"/>
          </w:r>
          <w:r>
            <w:instrText xml:space="preserve"> PAGEREF _Toc339036854 \h </w:instrText>
          </w:r>
          <w:r>
            <w:fldChar w:fldCharType="separate"/>
          </w:r>
          <w:r>
            <w:t>32</w:t>
          </w:r>
          <w:r>
            <w:fldChar w:fldCharType="end"/>
          </w:r>
        </w:p>
        <w:p w14:paraId="04724722"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Defining supported decision-making</w:t>
          </w:r>
          <w:r>
            <w:rPr>
              <w:noProof/>
            </w:rPr>
            <w:tab/>
          </w:r>
          <w:r>
            <w:rPr>
              <w:noProof/>
            </w:rPr>
            <w:fldChar w:fldCharType="begin"/>
          </w:r>
          <w:r>
            <w:rPr>
              <w:noProof/>
            </w:rPr>
            <w:instrText xml:space="preserve"> PAGEREF _Toc339036855 \h </w:instrText>
          </w:r>
          <w:r>
            <w:rPr>
              <w:noProof/>
            </w:rPr>
          </w:r>
          <w:r>
            <w:rPr>
              <w:noProof/>
            </w:rPr>
            <w:fldChar w:fldCharType="separate"/>
          </w:r>
          <w:r>
            <w:rPr>
              <w:noProof/>
            </w:rPr>
            <w:t>32</w:t>
          </w:r>
          <w:r>
            <w:rPr>
              <w:noProof/>
            </w:rPr>
            <w:fldChar w:fldCharType="end"/>
          </w:r>
        </w:p>
        <w:p w14:paraId="2F1FA8A9" w14:textId="77777777" w:rsidR="005E42FD" w:rsidRDefault="005E42FD">
          <w:pPr>
            <w:pStyle w:val="TOC2"/>
            <w:rPr>
              <w:rFonts w:asciiTheme="minorHAnsi" w:hAnsiTheme="minorHAnsi"/>
              <w:color w:val="auto"/>
              <w:sz w:val="24"/>
              <w:szCs w:val="24"/>
              <w:lang w:val="en-NZ" w:eastAsia="ja-JP"/>
            </w:rPr>
          </w:pPr>
          <w:r w:rsidRPr="000470B4">
            <w:t>Summarising the key points and issues of contention</w:t>
          </w:r>
          <w:r>
            <w:tab/>
          </w:r>
          <w:r>
            <w:fldChar w:fldCharType="begin"/>
          </w:r>
          <w:r>
            <w:instrText xml:space="preserve"> PAGEREF _Toc339036856 \h </w:instrText>
          </w:r>
          <w:r>
            <w:fldChar w:fldCharType="separate"/>
          </w:r>
          <w:r>
            <w:t>34</w:t>
          </w:r>
          <w:r>
            <w:fldChar w:fldCharType="end"/>
          </w:r>
        </w:p>
        <w:p w14:paraId="6C9635E8" w14:textId="77777777" w:rsidR="005E42FD" w:rsidRDefault="005E42FD">
          <w:pPr>
            <w:pStyle w:val="TOC1"/>
            <w:rPr>
              <w:rFonts w:asciiTheme="minorHAnsi" w:hAnsiTheme="minorHAnsi"/>
              <w:color w:val="auto"/>
              <w:sz w:val="24"/>
              <w:szCs w:val="24"/>
              <w:lang w:val="en-NZ" w:eastAsia="ja-JP"/>
            </w:rPr>
          </w:pPr>
          <w:r w:rsidRPr="000470B4">
            <w:t>Part Two: Implementing supported decision-making in legislation, policy, and practice</w:t>
          </w:r>
          <w:r>
            <w:tab/>
          </w:r>
          <w:r>
            <w:fldChar w:fldCharType="begin"/>
          </w:r>
          <w:r>
            <w:instrText xml:space="preserve"> PAGEREF _Toc339036857 \h </w:instrText>
          </w:r>
          <w:r>
            <w:fldChar w:fldCharType="separate"/>
          </w:r>
          <w:r>
            <w:t>35</w:t>
          </w:r>
          <w:r>
            <w:fldChar w:fldCharType="end"/>
          </w:r>
        </w:p>
        <w:p w14:paraId="599EEF4E"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Legislation and policy</w:t>
          </w:r>
          <w:r>
            <w:rPr>
              <w:noProof/>
            </w:rPr>
            <w:tab/>
          </w:r>
          <w:r>
            <w:rPr>
              <w:noProof/>
            </w:rPr>
            <w:fldChar w:fldCharType="begin"/>
          </w:r>
          <w:r>
            <w:rPr>
              <w:noProof/>
            </w:rPr>
            <w:instrText xml:space="preserve"> PAGEREF _Toc339036858 \h </w:instrText>
          </w:r>
          <w:r>
            <w:rPr>
              <w:noProof/>
            </w:rPr>
          </w:r>
          <w:r>
            <w:rPr>
              <w:noProof/>
            </w:rPr>
            <w:fldChar w:fldCharType="separate"/>
          </w:r>
          <w:r>
            <w:rPr>
              <w:noProof/>
            </w:rPr>
            <w:t>36</w:t>
          </w:r>
          <w:r>
            <w:rPr>
              <w:noProof/>
            </w:rPr>
            <w:fldChar w:fldCharType="end"/>
          </w:r>
        </w:p>
        <w:p w14:paraId="414F5E13"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Approaches to supported decision-making signalled in the literature</w:t>
          </w:r>
          <w:r>
            <w:rPr>
              <w:noProof/>
            </w:rPr>
            <w:tab/>
          </w:r>
          <w:r>
            <w:rPr>
              <w:noProof/>
            </w:rPr>
            <w:fldChar w:fldCharType="begin"/>
          </w:r>
          <w:r>
            <w:rPr>
              <w:noProof/>
            </w:rPr>
            <w:instrText xml:space="preserve"> PAGEREF _Toc339036859 \h </w:instrText>
          </w:r>
          <w:r>
            <w:rPr>
              <w:noProof/>
            </w:rPr>
          </w:r>
          <w:r>
            <w:rPr>
              <w:noProof/>
            </w:rPr>
            <w:fldChar w:fldCharType="separate"/>
          </w:r>
          <w:r>
            <w:rPr>
              <w:noProof/>
            </w:rPr>
            <w:t>41</w:t>
          </w:r>
          <w:r>
            <w:rPr>
              <w:noProof/>
            </w:rPr>
            <w:fldChar w:fldCharType="end"/>
          </w:r>
        </w:p>
        <w:p w14:paraId="1CD8D778"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Supported decision-making in practice</w:t>
          </w:r>
          <w:r>
            <w:rPr>
              <w:noProof/>
            </w:rPr>
            <w:tab/>
          </w:r>
          <w:r>
            <w:rPr>
              <w:noProof/>
            </w:rPr>
            <w:fldChar w:fldCharType="begin"/>
          </w:r>
          <w:r>
            <w:rPr>
              <w:noProof/>
            </w:rPr>
            <w:instrText xml:space="preserve"> PAGEREF _Toc339036860 \h </w:instrText>
          </w:r>
          <w:r>
            <w:rPr>
              <w:noProof/>
            </w:rPr>
          </w:r>
          <w:r>
            <w:rPr>
              <w:noProof/>
            </w:rPr>
            <w:fldChar w:fldCharType="separate"/>
          </w:r>
          <w:r>
            <w:rPr>
              <w:noProof/>
            </w:rPr>
            <w:t>44</w:t>
          </w:r>
          <w:r>
            <w:rPr>
              <w:noProof/>
            </w:rPr>
            <w:fldChar w:fldCharType="end"/>
          </w:r>
        </w:p>
        <w:p w14:paraId="45CEE4E5"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Reasonable accommodation and will and preference</w:t>
          </w:r>
          <w:r>
            <w:rPr>
              <w:noProof/>
            </w:rPr>
            <w:tab/>
          </w:r>
          <w:r>
            <w:rPr>
              <w:noProof/>
            </w:rPr>
            <w:fldChar w:fldCharType="begin"/>
          </w:r>
          <w:r>
            <w:rPr>
              <w:noProof/>
            </w:rPr>
            <w:instrText xml:space="preserve"> PAGEREF _Toc339036861 \h </w:instrText>
          </w:r>
          <w:r>
            <w:rPr>
              <w:noProof/>
            </w:rPr>
          </w:r>
          <w:r>
            <w:rPr>
              <w:noProof/>
            </w:rPr>
            <w:fldChar w:fldCharType="separate"/>
          </w:r>
          <w:r>
            <w:rPr>
              <w:noProof/>
            </w:rPr>
            <w:t>57</w:t>
          </w:r>
          <w:r>
            <w:rPr>
              <w:noProof/>
            </w:rPr>
            <w:fldChar w:fldCharType="end"/>
          </w:r>
        </w:p>
        <w:p w14:paraId="2D2FF7EA" w14:textId="77777777" w:rsidR="005E42FD" w:rsidRDefault="005E42FD">
          <w:pPr>
            <w:pStyle w:val="TOC1"/>
            <w:rPr>
              <w:rFonts w:asciiTheme="minorHAnsi" w:hAnsiTheme="minorHAnsi"/>
              <w:color w:val="auto"/>
              <w:sz w:val="24"/>
              <w:szCs w:val="24"/>
              <w:lang w:val="en-NZ" w:eastAsia="ja-JP"/>
            </w:rPr>
          </w:pPr>
          <w:r w:rsidRPr="000470B4">
            <w:t>Impacts of supported decision-making in practice</w:t>
          </w:r>
          <w:r>
            <w:tab/>
          </w:r>
          <w:r>
            <w:fldChar w:fldCharType="begin"/>
          </w:r>
          <w:r>
            <w:instrText xml:space="preserve"> PAGEREF _Toc339036862 \h </w:instrText>
          </w:r>
          <w:r>
            <w:fldChar w:fldCharType="separate"/>
          </w:r>
          <w:r>
            <w:t>58</w:t>
          </w:r>
          <w:r>
            <w:fldChar w:fldCharType="end"/>
          </w:r>
        </w:p>
        <w:p w14:paraId="244693DE"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Therapeutic evidence</w:t>
          </w:r>
          <w:r>
            <w:rPr>
              <w:noProof/>
            </w:rPr>
            <w:tab/>
          </w:r>
          <w:r>
            <w:rPr>
              <w:noProof/>
            </w:rPr>
            <w:fldChar w:fldCharType="begin"/>
          </w:r>
          <w:r>
            <w:rPr>
              <w:noProof/>
            </w:rPr>
            <w:instrText xml:space="preserve"> PAGEREF _Toc339036863 \h </w:instrText>
          </w:r>
          <w:r>
            <w:rPr>
              <w:noProof/>
            </w:rPr>
          </w:r>
          <w:r>
            <w:rPr>
              <w:noProof/>
            </w:rPr>
            <w:fldChar w:fldCharType="separate"/>
          </w:r>
          <w:r>
            <w:rPr>
              <w:noProof/>
            </w:rPr>
            <w:t>59</w:t>
          </w:r>
          <w:r>
            <w:rPr>
              <w:noProof/>
            </w:rPr>
            <w:fldChar w:fldCharType="end"/>
          </w:r>
        </w:p>
        <w:p w14:paraId="42A3668B" w14:textId="77777777" w:rsidR="005E42FD" w:rsidRDefault="005E42FD">
          <w:pPr>
            <w:pStyle w:val="TOC1"/>
            <w:rPr>
              <w:rFonts w:asciiTheme="minorHAnsi" w:hAnsiTheme="minorHAnsi"/>
              <w:color w:val="auto"/>
              <w:sz w:val="24"/>
              <w:szCs w:val="24"/>
              <w:lang w:val="en-NZ" w:eastAsia="ja-JP"/>
            </w:rPr>
          </w:pPr>
          <w:r w:rsidRPr="000470B4">
            <w:t>Realising will and preference adequately and safely</w:t>
          </w:r>
          <w:r>
            <w:tab/>
          </w:r>
          <w:r>
            <w:fldChar w:fldCharType="begin"/>
          </w:r>
          <w:r>
            <w:instrText xml:space="preserve"> PAGEREF _Toc339036864 \h </w:instrText>
          </w:r>
          <w:r>
            <w:fldChar w:fldCharType="separate"/>
          </w:r>
          <w:r>
            <w:t>61</w:t>
          </w:r>
          <w:r>
            <w:fldChar w:fldCharType="end"/>
          </w:r>
        </w:p>
        <w:p w14:paraId="11A1B37F"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Real connection with will and preference</w:t>
          </w:r>
          <w:r>
            <w:rPr>
              <w:noProof/>
            </w:rPr>
            <w:tab/>
          </w:r>
          <w:r>
            <w:rPr>
              <w:noProof/>
            </w:rPr>
            <w:fldChar w:fldCharType="begin"/>
          </w:r>
          <w:r>
            <w:rPr>
              <w:noProof/>
            </w:rPr>
            <w:instrText xml:space="preserve"> PAGEREF _Toc339036865 \h </w:instrText>
          </w:r>
          <w:r>
            <w:rPr>
              <w:noProof/>
            </w:rPr>
          </w:r>
          <w:r>
            <w:rPr>
              <w:noProof/>
            </w:rPr>
            <w:fldChar w:fldCharType="separate"/>
          </w:r>
          <w:r>
            <w:rPr>
              <w:noProof/>
            </w:rPr>
            <w:t>61</w:t>
          </w:r>
          <w:r>
            <w:rPr>
              <w:noProof/>
            </w:rPr>
            <w:fldChar w:fldCharType="end"/>
          </w:r>
        </w:p>
        <w:p w14:paraId="036FD02E"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Recognition and /or safeguards for the disabled person</w:t>
          </w:r>
          <w:r>
            <w:rPr>
              <w:noProof/>
            </w:rPr>
            <w:tab/>
          </w:r>
          <w:r>
            <w:rPr>
              <w:noProof/>
            </w:rPr>
            <w:fldChar w:fldCharType="begin"/>
          </w:r>
          <w:r>
            <w:rPr>
              <w:noProof/>
            </w:rPr>
            <w:instrText xml:space="preserve"> PAGEREF _Toc339036866 \h </w:instrText>
          </w:r>
          <w:r>
            <w:rPr>
              <w:noProof/>
            </w:rPr>
          </w:r>
          <w:r>
            <w:rPr>
              <w:noProof/>
            </w:rPr>
            <w:fldChar w:fldCharType="separate"/>
          </w:r>
          <w:r>
            <w:rPr>
              <w:noProof/>
            </w:rPr>
            <w:t>62</w:t>
          </w:r>
          <w:r>
            <w:rPr>
              <w:noProof/>
            </w:rPr>
            <w:fldChar w:fldCharType="end"/>
          </w:r>
        </w:p>
        <w:p w14:paraId="73921B4C"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Recognition of the need for safeguards for supporters</w:t>
          </w:r>
          <w:r>
            <w:rPr>
              <w:noProof/>
            </w:rPr>
            <w:tab/>
          </w:r>
          <w:r>
            <w:rPr>
              <w:noProof/>
            </w:rPr>
            <w:fldChar w:fldCharType="begin"/>
          </w:r>
          <w:r>
            <w:rPr>
              <w:noProof/>
            </w:rPr>
            <w:instrText xml:space="preserve"> PAGEREF _Toc339036867 \h </w:instrText>
          </w:r>
          <w:r>
            <w:rPr>
              <w:noProof/>
            </w:rPr>
          </w:r>
          <w:r>
            <w:rPr>
              <w:noProof/>
            </w:rPr>
            <w:fldChar w:fldCharType="separate"/>
          </w:r>
          <w:r>
            <w:rPr>
              <w:noProof/>
            </w:rPr>
            <w:t>71</w:t>
          </w:r>
          <w:r>
            <w:rPr>
              <w:noProof/>
            </w:rPr>
            <w:fldChar w:fldCharType="end"/>
          </w:r>
        </w:p>
        <w:p w14:paraId="472E215A"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Need for data</w:t>
          </w:r>
          <w:r>
            <w:rPr>
              <w:noProof/>
            </w:rPr>
            <w:tab/>
          </w:r>
          <w:r>
            <w:rPr>
              <w:noProof/>
            </w:rPr>
            <w:fldChar w:fldCharType="begin"/>
          </w:r>
          <w:r>
            <w:rPr>
              <w:noProof/>
            </w:rPr>
            <w:instrText xml:space="preserve"> PAGEREF _Toc339036868 \h </w:instrText>
          </w:r>
          <w:r>
            <w:rPr>
              <w:noProof/>
            </w:rPr>
          </w:r>
          <w:r>
            <w:rPr>
              <w:noProof/>
            </w:rPr>
            <w:fldChar w:fldCharType="separate"/>
          </w:r>
          <w:r>
            <w:rPr>
              <w:noProof/>
            </w:rPr>
            <w:t>72</w:t>
          </w:r>
          <w:r>
            <w:rPr>
              <w:noProof/>
            </w:rPr>
            <w:fldChar w:fldCharType="end"/>
          </w:r>
        </w:p>
        <w:p w14:paraId="4FC26584" w14:textId="77777777" w:rsidR="005E42FD" w:rsidRDefault="005E42FD">
          <w:pPr>
            <w:pStyle w:val="TOC2"/>
            <w:rPr>
              <w:rFonts w:asciiTheme="minorHAnsi" w:hAnsiTheme="minorHAnsi"/>
              <w:color w:val="auto"/>
              <w:sz w:val="24"/>
              <w:szCs w:val="24"/>
              <w:lang w:val="en-NZ" w:eastAsia="ja-JP"/>
            </w:rPr>
          </w:pPr>
          <w:r w:rsidRPr="000470B4">
            <w:t>Summarising key points and issues of contention</w:t>
          </w:r>
          <w:r>
            <w:tab/>
          </w:r>
          <w:r>
            <w:fldChar w:fldCharType="begin"/>
          </w:r>
          <w:r>
            <w:instrText xml:space="preserve"> PAGEREF _Toc339036869 \h </w:instrText>
          </w:r>
          <w:r>
            <w:fldChar w:fldCharType="separate"/>
          </w:r>
          <w:r>
            <w:t>74</w:t>
          </w:r>
          <w:r>
            <w:fldChar w:fldCharType="end"/>
          </w:r>
        </w:p>
        <w:p w14:paraId="6FBD6167" w14:textId="77777777" w:rsidR="005E42FD" w:rsidRDefault="005E42FD">
          <w:pPr>
            <w:pStyle w:val="TOC1"/>
            <w:rPr>
              <w:rFonts w:asciiTheme="minorHAnsi" w:hAnsiTheme="minorHAnsi"/>
              <w:color w:val="auto"/>
              <w:sz w:val="24"/>
              <w:szCs w:val="24"/>
              <w:lang w:val="en-NZ" w:eastAsia="ja-JP"/>
            </w:rPr>
          </w:pPr>
          <w:r w:rsidRPr="000470B4">
            <w:t>Key Themes &amp; Future Challenges</w:t>
          </w:r>
          <w:r>
            <w:tab/>
          </w:r>
          <w:r>
            <w:fldChar w:fldCharType="begin"/>
          </w:r>
          <w:r>
            <w:instrText xml:space="preserve"> PAGEREF _Toc339036870 \h </w:instrText>
          </w:r>
          <w:r>
            <w:fldChar w:fldCharType="separate"/>
          </w:r>
          <w:r>
            <w:t>75</w:t>
          </w:r>
          <w:r>
            <w:fldChar w:fldCharType="end"/>
          </w:r>
        </w:p>
        <w:p w14:paraId="4F4E8E33" w14:textId="77777777" w:rsidR="005E42FD" w:rsidRDefault="005E42FD">
          <w:pPr>
            <w:pStyle w:val="TOC1"/>
            <w:rPr>
              <w:rFonts w:asciiTheme="minorHAnsi" w:hAnsiTheme="minorHAnsi"/>
              <w:color w:val="auto"/>
              <w:sz w:val="24"/>
              <w:szCs w:val="24"/>
              <w:lang w:val="en-NZ" w:eastAsia="ja-JP"/>
            </w:rPr>
          </w:pPr>
          <w:r w:rsidRPr="000470B4">
            <w:t>References</w:t>
          </w:r>
          <w:r>
            <w:tab/>
          </w:r>
          <w:r>
            <w:fldChar w:fldCharType="begin"/>
          </w:r>
          <w:r>
            <w:instrText xml:space="preserve"> PAGEREF _Toc339036871 \h </w:instrText>
          </w:r>
          <w:r>
            <w:fldChar w:fldCharType="separate"/>
          </w:r>
          <w:r>
            <w:t>77</w:t>
          </w:r>
          <w:r>
            <w:fldChar w:fldCharType="end"/>
          </w:r>
        </w:p>
        <w:p w14:paraId="13B21605" w14:textId="77777777" w:rsidR="005E42FD" w:rsidRDefault="005E42FD">
          <w:pPr>
            <w:pStyle w:val="TOC1"/>
            <w:rPr>
              <w:rFonts w:asciiTheme="minorHAnsi" w:hAnsiTheme="minorHAnsi"/>
              <w:color w:val="auto"/>
              <w:sz w:val="24"/>
              <w:szCs w:val="24"/>
              <w:lang w:val="en-NZ" w:eastAsia="ja-JP"/>
            </w:rPr>
          </w:pPr>
          <w:r w:rsidRPr="000470B4">
            <w:t>Additional resources</w:t>
          </w:r>
          <w:r>
            <w:tab/>
          </w:r>
          <w:r>
            <w:fldChar w:fldCharType="begin"/>
          </w:r>
          <w:r>
            <w:instrText xml:space="preserve"> PAGEREF _Toc339036872 \h </w:instrText>
          </w:r>
          <w:r>
            <w:fldChar w:fldCharType="separate"/>
          </w:r>
          <w:r>
            <w:t>92</w:t>
          </w:r>
          <w:r>
            <w:fldChar w:fldCharType="end"/>
          </w:r>
        </w:p>
        <w:p w14:paraId="320368FA" w14:textId="77777777" w:rsidR="005E42FD" w:rsidRDefault="005E42FD">
          <w:pPr>
            <w:pStyle w:val="TOC1"/>
            <w:rPr>
              <w:rFonts w:asciiTheme="minorHAnsi" w:hAnsiTheme="minorHAnsi"/>
              <w:color w:val="auto"/>
              <w:sz w:val="24"/>
              <w:szCs w:val="24"/>
              <w:lang w:val="en-NZ" w:eastAsia="ja-JP"/>
            </w:rPr>
          </w:pPr>
          <w:r w:rsidRPr="000470B4">
            <w:t>Appendix A</w:t>
          </w:r>
          <w:r>
            <w:tab/>
          </w:r>
          <w:r>
            <w:fldChar w:fldCharType="begin"/>
          </w:r>
          <w:r>
            <w:instrText xml:space="preserve"> PAGEREF _Toc339036873 \h </w:instrText>
          </w:r>
          <w:r>
            <w:fldChar w:fldCharType="separate"/>
          </w:r>
          <w:r>
            <w:t>100</w:t>
          </w:r>
          <w:r>
            <w:fldChar w:fldCharType="end"/>
          </w:r>
        </w:p>
        <w:p w14:paraId="47DF0A46" w14:textId="77777777" w:rsidR="005E42FD" w:rsidRDefault="005E42FD">
          <w:pPr>
            <w:pStyle w:val="TOC3"/>
            <w:tabs>
              <w:tab w:val="right" w:leader="dot" w:pos="9010"/>
            </w:tabs>
            <w:rPr>
              <w:rFonts w:asciiTheme="minorHAnsi" w:hAnsiTheme="minorHAnsi"/>
              <w:noProof/>
              <w:sz w:val="24"/>
              <w:szCs w:val="24"/>
              <w:lang w:eastAsia="ja-JP"/>
            </w:rPr>
          </w:pPr>
          <w:r w:rsidRPr="000470B4">
            <w:rPr>
              <w:noProof/>
              <w:lang w:val="en-AU"/>
            </w:rPr>
            <w:t>Review Questions</w:t>
          </w:r>
          <w:r>
            <w:rPr>
              <w:noProof/>
            </w:rPr>
            <w:tab/>
          </w:r>
          <w:r>
            <w:rPr>
              <w:noProof/>
            </w:rPr>
            <w:fldChar w:fldCharType="begin"/>
          </w:r>
          <w:r>
            <w:rPr>
              <w:noProof/>
            </w:rPr>
            <w:instrText xml:space="preserve"> PAGEREF _Toc339036874 \h </w:instrText>
          </w:r>
          <w:r>
            <w:rPr>
              <w:noProof/>
            </w:rPr>
          </w:r>
          <w:r>
            <w:rPr>
              <w:noProof/>
            </w:rPr>
            <w:fldChar w:fldCharType="separate"/>
          </w:r>
          <w:r>
            <w:rPr>
              <w:noProof/>
            </w:rPr>
            <w:t>100</w:t>
          </w:r>
          <w:r>
            <w:rPr>
              <w:noProof/>
            </w:rPr>
            <w:fldChar w:fldCharType="end"/>
          </w:r>
        </w:p>
        <w:p w14:paraId="5299F5E5" w14:textId="77777777" w:rsidR="005E42FD" w:rsidRDefault="005E42FD">
          <w:pPr>
            <w:pStyle w:val="TOC1"/>
            <w:rPr>
              <w:rFonts w:asciiTheme="minorHAnsi" w:hAnsiTheme="minorHAnsi"/>
              <w:color w:val="auto"/>
              <w:sz w:val="24"/>
              <w:szCs w:val="24"/>
              <w:lang w:val="en-NZ" w:eastAsia="ja-JP"/>
            </w:rPr>
          </w:pPr>
          <w:r w:rsidRPr="000470B4">
            <w:t>Appendix B</w:t>
          </w:r>
          <w:r>
            <w:tab/>
          </w:r>
          <w:r>
            <w:fldChar w:fldCharType="begin"/>
          </w:r>
          <w:r>
            <w:instrText xml:space="preserve"> PAGEREF _Toc339036875 \h </w:instrText>
          </w:r>
          <w:r>
            <w:fldChar w:fldCharType="separate"/>
          </w:r>
          <w:r>
            <w:t>103</w:t>
          </w:r>
          <w:r>
            <w:fldChar w:fldCharType="end"/>
          </w:r>
        </w:p>
        <w:p w14:paraId="6C93B561" w14:textId="38398BEE" w:rsidR="00781186" w:rsidRPr="00FE76D7" w:rsidRDefault="00630A81" w:rsidP="00630A81">
          <w:pPr>
            <w:pStyle w:val="TOC3"/>
          </w:pPr>
          <w:r>
            <w:rPr>
              <w:noProof/>
              <w:color w:val="1A5092"/>
              <w:lang w:val="en-AU"/>
            </w:rPr>
            <w:fldChar w:fldCharType="end"/>
          </w:r>
        </w:p>
      </w:sdtContent>
    </w:sdt>
    <w:p w14:paraId="2105F411" w14:textId="77777777" w:rsidR="00FE76D7" w:rsidRPr="00FE76D7" w:rsidRDefault="00FE76D7" w:rsidP="00A37E77">
      <w:pPr>
        <w:pStyle w:val="NoSpacing"/>
        <w:rPr>
          <w:rFonts w:ascii="Century Gothic" w:hAnsi="Century Gothic"/>
          <w:sz w:val="22"/>
          <w:szCs w:val="22"/>
          <w:lang w:val="en-AU"/>
        </w:rPr>
      </w:pPr>
    </w:p>
    <w:p w14:paraId="7C70FB07" w14:textId="77777777" w:rsidR="00FE76D7" w:rsidRPr="00FE76D7" w:rsidRDefault="00FE76D7" w:rsidP="00A37E77">
      <w:pPr>
        <w:pStyle w:val="NoSpacing"/>
        <w:rPr>
          <w:rFonts w:ascii="Century Gothic" w:hAnsi="Century Gothic"/>
          <w:sz w:val="22"/>
          <w:szCs w:val="22"/>
          <w:lang w:val="en-AU"/>
        </w:rPr>
      </w:pPr>
    </w:p>
    <w:p w14:paraId="155B26FE" w14:textId="77777777" w:rsidR="00FE76D7" w:rsidRPr="00FE76D7" w:rsidRDefault="00FE76D7" w:rsidP="00A37E77">
      <w:pPr>
        <w:pStyle w:val="NoSpacing"/>
        <w:rPr>
          <w:rFonts w:ascii="Century Gothic" w:hAnsi="Century Gothic"/>
          <w:sz w:val="22"/>
          <w:szCs w:val="22"/>
          <w:lang w:val="en-AU"/>
        </w:rPr>
      </w:pPr>
    </w:p>
    <w:p w14:paraId="64F3A408" w14:textId="361EB085" w:rsidR="00FE76D7" w:rsidRPr="00FE76D7" w:rsidRDefault="00FE76D7">
      <w:pPr>
        <w:spacing w:line="240" w:lineRule="auto"/>
        <w:jc w:val="left"/>
        <w:rPr>
          <w:rFonts w:ascii="Century Gothic" w:hAnsi="Century Gothic"/>
          <w:sz w:val="22"/>
          <w:szCs w:val="22"/>
          <w:lang w:val="en-AU"/>
        </w:rPr>
      </w:pPr>
      <w:r w:rsidRPr="00FE76D7">
        <w:rPr>
          <w:rFonts w:ascii="Century Gothic" w:hAnsi="Century Gothic"/>
          <w:sz w:val="22"/>
          <w:szCs w:val="22"/>
          <w:lang w:val="en-AU"/>
        </w:rPr>
        <w:br w:type="page"/>
      </w:r>
    </w:p>
    <w:tbl>
      <w:tblPr>
        <w:tblStyle w:val="Style5"/>
        <w:tblW w:w="5000" w:type="pct"/>
        <w:tblLook w:val="04A0" w:firstRow="1" w:lastRow="0" w:firstColumn="1" w:lastColumn="0" w:noHBand="0" w:noVBand="1"/>
      </w:tblPr>
      <w:tblGrid>
        <w:gridCol w:w="9236"/>
      </w:tblGrid>
      <w:tr w:rsidR="006A4DC7" w:rsidRPr="00E3754A" w14:paraId="16837E54" w14:textId="77777777" w:rsidTr="006A4DC7">
        <w:tc>
          <w:tcPr>
            <w:tcW w:w="5000" w:type="pct"/>
          </w:tcPr>
          <w:p w14:paraId="1B834890" w14:textId="11B139A0" w:rsidR="006A4DC7" w:rsidRPr="00E3754A" w:rsidRDefault="00640FE1" w:rsidP="002606ED">
            <w:pPr>
              <w:pStyle w:val="Heading1"/>
              <w:rPr>
                <w:lang w:val="en-AU"/>
              </w:rPr>
            </w:pPr>
            <w:bookmarkStart w:id="24" w:name="_Toc339036842"/>
            <w:bookmarkStart w:id="25" w:name="_Toc334695911"/>
            <w:r w:rsidRPr="00E3754A">
              <w:rPr>
                <w:lang w:val="en-AU"/>
              </w:rPr>
              <w:t>Introduction</w:t>
            </w:r>
            <w:bookmarkEnd w:id="24"/>
          </w:p>
        </w:tc>
      </w:tr>
    </w:tbl>
    <w:bookmarkEnd w:id="25"/>
    <w:p w14:paraId="6B02E609" w14:textId="368EF8CE" w:rsidR="00EB1409" w:rsidRPr="00E3754A" w:rsidRDefault="00EB1409" w:rsidP="00EB1409">
      <w:pPr>
        <w:pStyle w:val="NoSpacing"/>
        <w:rPr>
          <w:lang w:val="en-AU"/>
        </w:rPr>
      </w:pPr>
      <w:r w:rsidRPr="00E3754A">
        <w:rPr>
          <w:lang w:val="en-AU"/>
        </w:rPr>
        <w:t xml:space="preserve">As a state party to the Convention, New Zealand has recognised its obligations to give effect to the 50 articles and preamble of the Convention, including Article 12, the right to equal recognition before the law. This integrative literature review was undertaken to provide New Zealand with guidance on how to </w:t>
      </w:r>
      <w:r w:rsidR="00A657AD">
        <w:rPr>
          <w:lang w:val="en-AU"/>
        </w:rPr>
        <w:t xml:space="preserve">implement </w:t>
      </w:r>
      <w:r w:rsidRPr="00E3754A">
        <w:rPr>
          <w:lang w:val="en-AU"/>
        </w:rPr>
        <w:t xml:space="preserve">Article 12, as signalled by the literature and initiatives taken by other jurisdictions. This report presents the findings of a literature review commissioned by the Office for Disability Issues to facilitate understanding of the ways in which Article 12 of the United Nations Convention on the Rights of Persons with Disabilities may inform the New Zealand Disability Action Plan 2014-2018, Action 7A. Action 7A commits to ‘ensuring disabled people can exercise their legal capacity, including through recognition of supported decision making.’ The Office for Disability Issues (ODI) is responsible for leading work on this action. </w:t>
      </w:r>
    </w:p>
    <w:p w14:paraId="693FD3D7" w14:textId="77777777" w:rsidR="00EB1409" w:rsidRPr="00E3754A" w:rsidRDefault="00EB1409" w:rsidP="00EB1409">
      <w:pPr>
        <w:pStyle w:val="NoSpacing"/>
        <w:rPr>
          <w:lang w:val="en-AU"/>
        </w:rPr>
      </w:pPr>
      <w:r w:rsidRPr="00E3754A">
        <w:rPr>
          <w:lang w:val="en-AU"/>
        </w:rPr>
        <w:t>To ensure that the findings of the research have practical utility as New Zealand considers how to give expression to Article 12, the review prioritises current practice and innovative examples of how other signatory nations have attempted to ensure that disabled people can exercise legal capacity, and be supported with decision-making. In this context, a rights-based approach is taken, consistent with the UN Convention on the Rights of Persons with Disabilities, as well as an acknowledgement that the ability to exercise rights requires adequate structural provisions and support to meet particular needs. This review is intended to furnish information and direction about the ways in which supported decision-making can be established as a guiding principle within the daily lives of disabled people in New Zealand.</w:t>
      </w:r>
    </w:p>
    <w:p w14:paraId="50AEC096" w14:textId="77777777" w:rsidR="00EB1409" w:rsidRPr="00E3754A" w:rsidRDefault="00EB1409" w:rsidP="00EB1409">
      <w:pPr>
        <w:pStyle w:val="NoSpacing"/>
        <w:rPr>
          <w:lang w:val="en-AU"/>
        </w:rPr>
      </w:pPr>
      <w:r w:rsidRPr="00E3754A">
        <w:rPr>
          <w:lang w:val="en-AU"/>
        </w:rPr>
        <w:t xml:space="preserve">The review was underpinned by a series of questions. These questions were provided by the ODI and comprised of two primary questions and 19 supplementary questions. The primary questions form the basis for the literature review, by guiding the literature searches and providing an organising framework. The two key questions pursued were: </w:t>
      </w:r>
    </w:p>
    <w:p w14:paraId="5B1F2065" w14:textId="0A084693" w:rsidR="00EB1409" w:rsidRPr="00E3754A" w:rsidRDefault="00EB1409" w:rsidP="00EB1409">
      <w:pPr>
        <w:pStyle w:val="Quote"/>
        <w:rPr>
          <w:lang w:val="en-AU"/>
        </w:rPr>
      </w:pPr>
      <w:r w:rsidRPr="00E3754A">
        <w:rPr>
          <w:lang w:val="en-AU"/>
        </w:rPr>
        <w:t>1. What can be learned from literature that has been published since 1 January 2010 that examines, discusses, provides case studies/individual stories, or reviews/ evaluates the practice of disabled people exercising their legal capacity. Particularly, what has been done to enable or better support disabled people’s exercise of legal capacity?</w:t>
      </w:r>
      <w:r w:rsidR="006F7CE1" w:rsidRPr="00E3754A">
        <w:rPr>
          <w:lang w:val="en-AU"/>
        </w:rPr>
        <w:t xml:space="preserve"> </w:t>
      </w:r>
    </w:p>
    <w:p w14:paraId="542A9DBA" w14:textId="77777777" w:rsidR="00EB1409" w:rsidRPr="00E3754A" w:rsidRDefault="00EB1409" w:rsidP="00EB1409">
      <w:pPr>
        <w:pStyle w:val="Quote"/>
        <w:rPr>
          <w:rStyle w:val="SubtleEmphasis"/>
          <w:i w:val="0"/>
          <w:color w:val="auto"/>
          <w:lang w:val="en-AU"/>
        </w:rPr>
      </w:pPr>
      <w:r w:rsidRPr="00E3754A">
        <w:rPr>
          <w:lang w:val="en-AU"/>
        </w:rPr>
        <w:t>2. What are the trends in the evolution and development of thinking and practice over time of support for disabled people’s exercise of legal capacity, where relevant?</w:t>
      </w:r>
    </w:p>
    <w:p w14:paraId="01F1DD03" w14:textId="1971FF3F" w:rsidR="00EB1409" w:rsidRPr="00E3754A" w:rsidRDefault="00EB1409" w:rsidP="00EB1409">
      <w:pPr>
        <w:pStyle w:val="NoSpacing"/>
        <w:rPr>
          <w:lang w:val="en-AU"/>
        </w:rPr>
      </w:pPr>
      <w:r w:rsidRPr="00E3754A">
        <w:rPr>
          <w:lang w:val="en-AU"/>
        </w:rPr>
        <w:t>The literature review responds broadly to the primary questions, and where specific sections answer particular secondary questions it is clearly stated within signposts or footnotes. This system was adopted because some sections relate to more than one question, and some questions are answered in more than one section of the report. The full and original list of questions can be seen in Appendix A. The review was conducted using an integrative literature review methodology, so that a diverse range of literature could be included (Wittemore &amp; Knaft, 2005). This approach was appropriate in this case as useful discussions of Article 12 and supported decision-making have been delivered through a range of different mediums, and these diverse examples were relevant to include in the review. A more detailed account of the literature review methodology is contained in Appendix B.</w:t>
      </w:r>
    </w:p>
    <w:p w14:paraId="5E298D80" w14:textId="554A2943" w:rsidR="00EB1409" w:rsidRPr="00E3754A" w:rsidRDefault="00EB1409" w:rsidP="00EB1409">
      <w:pPr>
        <w:pStyle w:val="NoSpacing"/>
        <w:rPr>
          <w:iCs/>
          <w:lang w:val="en-AU"/>
        </w:rPr>
      </w:pPr>
      <w:r w:rsidRPr="00E3754A">
        <w:rPr>
          <w:iCs/>
          <w:lang w:val="en-AU"/>
        </w:rPr>
        <w:t>The report has been organi</w:t>
      </w:r>
      <w:r w:rsidR="00FB2DD2" w:rsidRPr="00E3754A">
        <w:rPr>
          <w:iCs/>
          <w:lang w:val="en-AU"/>
        </w:rPr>
        <w:t>s</w:t>
      </w:r>
      <w:r w:rsidRPr="00E3754A">
        <w:rPr>
          <w:iCs/>
          <w:lang w:val="en-AU"/>
        </w:rPr>
        <w:t>ed into two sections. Part One provides necessary background in order to contextualise the focus of the review and includes: an overview of the Convention; an explanation of who Article</w:t>
      </w:r>
      <w:r w:rsidR="00FB2DD2" w:rsidRPr="00E3754A">
        <w:rPr>
          <w:iCs/>
          <w:lang w:val="en-AU"/>
        </w:rPr>
        <w:t xml:space="preserve"> 12</w:t>
      </w:r>
      <w:r w:rsidRPr="00E3754A">
        <w:rPr>
          <w:iCs/>
          <w:lang w:val="en-AU"/>
        </w:rPr>
        <w:t xml:space="preserve"> relates to; information relating to the paradigm shift in the conceptualisation of legal and mental capacity; an articulation of the paradigm shift from best interests to will and preference; and the realisation of legal capacity through supported decision making. </w:t>
      </w:r>
      <w:r w:rsidRPr="00E3754A">
        <w:rPr>
          <w:lang w:val="en-AU"/>
        </w:rPr>
        <w:t xml:space="preserve">Article 12 establishes that disabled people have an absolute, non-derogable right to legal capacity; that is a right to be both a person and an agent whose decisions are valid by law. As a consequence, to give effect to the Convention states parties have been informed that they have an obligation to replace substituted decision-making with supported decision-making, abolish capacity tests, and replace notions of incapacity, and ‘best interests’ with the recognition and centrality of will and preference. The Convention has been the catalyst for a paradigm shift in conceptualising legal capacity as independent of mental capacity, so that a person can retain their legal capacity even when their mental capacity and need for support may fluctuate. As is described in Part One, the literature recognises the consequences of Article 12 for all disabled people but </w:t>
      </w:r>
      <w:r w:rsidR="00BA7D86" w:rsidRPr="00BA7D86">
        <w:rPr>
          <w:lang w:val="en-AU"/>
        </w:rPr>
        <w:t>emphasises</w:t>
      </w:r>
      <w:r w:rsidRPr="00E3754A">
        <w:rPr>
          <w:lang w:val="en-AU"/>
        </w:rPr>
        <w:t xml:space="preserve"> that it most significantly impacts on people with developmental and learning disabilities, dementia, acquired brain injuries, and mental illness.</w:t>
      </w:r>
    </w:p>
    <w:p w14:paraId="7B265EA2" w14:textId="122E0D58" w:rsidR="00EB1409" w:rsidRPr="00E3754A" w:rsidRDefault="00EB1409" w:rsidP="00EB1409">
      <w:pPr>
        <w:pStyle w:val="NoSpacing"/>
        <w:rPr>
          <w:lang w:val="en-AU"/>
        </w:rPr>
      </w:pPr>
      <w:r w:rsidRPr="00E3754A">
        <w:rPr>
          <w:lang w:val="en-AU"/>
        </w:rPr>
        <w:t xml:space="preserve">Although there is general consensus with the spirit of the Convention, issues of tension remain with the dramatically different interpretations being made about states parties’ obligations (Kerzner, 2011). </w:t>
      </w:r>
      <w:r w:rsidR="00621CE8">
        <w:rPr>
          <w:lang w:val="en-AU"/>
        </w:rPr>
        <w:t>The</w:t>
      </w:r>
      <w:r w:rsidR="00621CE8" w:rsidRPr="00E3754A">
        <w:rPr>
          <w:lang w:val="en-AU"/>
        </w:rPr>
        <w:t xml:space="preserve"> </w:t>
      </w:r>
      <w:r w:rsidRPr="00E3754A">
        <w:rPr>
          <w:lang w:val="en-AU"/>
        </w:rPr>
        <w:t xml:space="preserve">General Comment </w:t>
      </w:r>
      <w:r w:rsidR="00621CE8">
        <w:rPr>
          <w:lang w:val="en-AU"/>
        </w:rPr>
        <w:t xml:space="preserve">No. 1 </w:t>
      </w:r>
      <w:r w:rsidRPr="00E3754A">
        <w:rPr>
          <w:lang w:val="en-AU"/>
        </w:rPr>
        <w:t>was intended to clarify the intent of Article 12 and to provide states parties with direction on how to give expression to it</w:t>
      </w:r>
      <w:r w:rsidR="00621CE8">
        <w:rPr>
          <w:lang w:val="en-AU"/>
        </w:rPr>
        <w:t>. Although the General Comment is not binding, it is intended to be utilised by states parties as an interpretative aid to assisttheir efforts in meeting their obligations under the Convention (see authors who have used it in this way, such as Arstein-Kerslake &amp; Flynn, 2015; Gooding, 2015; Minkowitz, 2014; Minkowitz, 2013)</w:t>
      </w:r>
      <w:r w:rsidR="00BA4A8E">
        <w:rPr>
          <w:lang w:val="en-AU"/>
        </w:rPr>
        <w:t>. D</w:t>
      </w:r>
      <w:r w:rsidRPr="00E3754A">
        <w:rPr>
          <w:lang w:val="en-AU"/>
        </w:rPr>
        <w:t xml:space="preserve">ebate has continued and is typically centred on: the abolishment of </w:t>
      </w:r>
      <w:r w:rsidR="00BA7D86" w:rsidRPr="00BA7D86">
        <w:rPr>
          <w:lang w:val="en-AU"/>
        </w:rPr>
        <w:t>substituted</w:t>
      </w:r>
      <w:r w:rsidRPr="00E3754A">
        <w:rPr>
          <w:lang w:val="en-AU"/>
        </w:rPr>
        <w:t xml:space="preserve"> decision-making and capacity testing; the extent to which will and prefe</w:t>
      </w:r>
      <w:r w:rsidR="00BA7D86">
        <w:rPr>
          <w:lang w:val="en-AU"/>
        </w:rPr>
        <w:t>re</w:t>
      </w:r>
      <w:r w:rsidRPr="00E3754A">
        <w:rPr>
          <w:lang w:val="en-AU"/>
        </w:rPr>
        <w:t>nce can be realised through supported decision-making; the distinction between rights to legal standing and rights to legal agency under the broad notion of legal capacity; how to achieve equal treatment in the context of criminal law; and the factors that obstruct a person’s ability to realise their legal capacity and how to remove them.</w:t>
      </w:r>
    </w:p>
    <w:p w14:paraId="0A0965B7" w14:textId="4F549F58" w:rsidR="00EB1409" w:rsidRPr="00E3754A" w:rsidRDefault="00EB1409" w:rsidP="00EB1409">
      <w:pPr>
        <w:pStyle w:val="NoSpacing"/>
        <w:rPr>
          <w:lang w:val="en-AU"/>
        </w:rPr>
      </w:pPr>
      <w:r w:rsidRPr="00E3754A">
        <w:rPr>
          <w:lang w:val="en-AU"/>
        </w:rPr>
        <w:t xml:space="preserve">Part Two of the report </w:t>
      </w:r>
      <w:r w:rsidRPr="00E3754A">
        <w:rPr>
          <w:iCs/>
          <w:lang w:val="en-AU"/>
        </w:rPr>
        <w:t>is concerned with articulating the specific actions that states parties have undertaken with the purpose of giving expression to Article 12</w:t>
      </w:r>
      <w:r w:rsidRPr="00E3754A">
        <w:rPr>
          <w:lang w:val="en-AU"/>
        </w:rPr>
        <w:t xml:space="preserve">. It identifies and explores specific approaches and </w:t>
      </w:r>
      <w:r w:rsidR="00BA7D86" w:rsidRPr="00BA7D86">
        <w:rPr>
          <w:lang w:val="en-AU"/>
        </w:rPr>
        <w:t>mechanisms</w:t>
      </w:r>
      <w:r w:rsidRPr="00E3754A">
        <w:rPr>
          <w:lang w:val="en-AU"/>
        </w:rPr>
        <w:t xml:space="preserve"> for supported decision-making that have been signalled in the literature, or have been implemented by states parties committed to embedding Article 12 of the Convention in the daily lives of disabled people. It </w:t>
      </w:r>
      <w:r w:rsidRPr="00E3754A">
        <w:rPr>
          <w:iCs/>
          <w:lang w:val="en-AU"/>
        </w:rPr>
        <w:t xml:space="preserve">includes sections on: legislation and policy; approaches to supported decision-making </w:t>
      </w:r>
      <w:r w:rsidR="0050451E" w:rsidRPr="00E3754A">
        <w:rPr>
          <w:iCs/>
          <w:lang w:val="en-AU"/>
        </w:rPr>
        <w:t>signalled</w:t>
      </w:r>
      <w:r w:rsidRPr="00E3754A">
        <w:rPr>
          <w:iCs/>
          <w:lang w:val="en-AU"/>
        </w:rPr>
        <w:t xml:space="preserve"> in the literature; supported decision-making in practice; reasonable accommodation and will and preference; realising will and preference adequately and safely.</w:t>
      </w:r>
      <w:r w:rsidRPr="00E3754A">
        <w:rPr>
          <w:lang w:val="en-AU"/>
        </w:rPr>
        <w:t xml:space="preserve"> This section of the review highlighted that while a dominant way of theorising the implementation of supported decision-making is still to emerge, there is quite a high degree of con</w:t>
      </w:r>
      <w:r w:rsidR="009569DA" w:rsidRPr="00E3754A">
        <w:rPr>
          <w:lang w:val="en-AU"/>
        </w:rPr>
        <w:t>s</w:t>
      </w:r>
      <w:r w:rsidRPr="00E3754A">
        <w:rPr>
          <w:lang w:val="en-AU"/>
        </w:rPr>
        <w:t xml:space="preserve">ensus </w:t>
      </w:r>
      <w:r w:rsidR="00BA7D86" w:rsidRPr="00BA7D86">
        <w:rPr>
          <w:lang w:val="en-AU"/>
        </w:rPr>
        <w:t>relating</w:t>
      </w:r>
      <w:r w:rsidRPr="00E3754A">
        <w:rPr>
          <w:lang w:val="en-AU"/>
        </w:rPr>
        <w:t xml:space="preserve"> to the elements of effective supported decision-making. The most extensive body of research relating to Article 12 of the Convention articulates the critical elements required to ensure will and preference remains central in all situations </w:t>
      </w:r>
      <w:r w:rsidR="00505B8E" w:rsidRPr="00E3754A">
        <w:rPr>
          <w:lang w:val="en-AU"/>
        </w:rPr>
        <w:t xml:space="preserve">that involve </w:t>
      </w:r>
      <w:r w:rsidRPr="00E3754A">
        <w:rPr>
          <w:lang w:val="en-AU"/>
        </w:rPr>
        <w:t xml:space="preserve">disabled people who require assistance with decision-making. </w:t>
      </w:r>
    </w:p>
    <w:p w14:paraId="258FD082" w14:textId="7C71E169" w:rsidR="00EB1409" w:rsidRPr="00E3754A" w:rsidRDefault="00BA7D86" w:rsidP="00EB1409">
      <w:pPr>
        <w:pStyle w:val="NoSpacing"/>
        <w:rPr>
          <w:lang w:val="en-AU"/>
        </w:rPr>
      </w:pPr>
      <w:r w:rsidRPr="00BA7D86">
        <w:rPr>
          <w:lang w:val="en-AU"/>
        </w:rPr>
        <w:t>Interrogation</w:t>
      </w:r>
      <w:r w:rsidR="00EB1409" w:rsidRPr="00E3754A">
        <w:rPr>
          <w:lang w:val="en-AU"/>
        </w:rPr>
        <w:t xml:space="preserve"> of the literature enabled a number of key issues and debates related to the implementation of supported decision-making at a systemic and practice level to be highlighted. These included debates about: how to theorise supported decision-making for individuals with severe cognitive impairment; how to determine when a disabled person requires assistance with decision-making; how to identify and manage situations whereby a person’s will and preferences conflict; how to determine and how to respond when disabled people and their supporters have conflicting will and preferences; and the type and extent of safeguards required for disabled people, and in some cases their supporters, in the Convention era. </w:t>
      </w:r>
    </w:p>
    <w:p w14:paraId="193ED974" w14:textId="37E16F4F" w:rsidR="00EB1409" w:rsidRPr="00E3754A" w:rsidRDefault="00EB1409" w:rsidP="00EB1409">
      <w:pPr>
        <w:pStyle w:val="NoSpacing"/>
        <w:rPr>
          <w:lang w:val="en-AU"/>
        </w:rPr>
      </w:pPr>
      <w:r w:rsidRPr="00E3754A">
        <w:rPr>
          <w:lang w:val="en-AU"/>
        </w:rPr>
        <w:t xml:space="preserve">The review also identified an acute lack of evidence to guide legislative change related to Article 12, and to underpin and inform policy and practice related to supported decision-making. Of particular note is an absence of the experiences and perceptions of disabled people within the body of information available. It is also apparent that there is a lack of robust </w:t>
      </w:r>
      <w:r w:rsidR="00BA7D86" w:rsidRPr="00BA7D86">
        <w:rPr>
          <w:lang w:val="en-AU"/>
        </w:rPr>
        <w:t>evidence</w:t>
      </w:r>
      <w:r w:rsidRPr="00E3754A">
        <w:rPr>
          <w:lang w:val="en-AU"/>
        </w:rPr>
        <w:t xml:space="preserve"> about the level of resourcing required to embed supported decision-making in the lives of </w:t>
      </w:r>
      <w:r w:rsidRPr="00E3754A">
        <w:rPr>
          <w:i/>
          <w:lang w:val="en-AU"/>
        </w:rPr>
        <w:t>all</w:t>
      </w:r>
      <w:r w:rsidRPr="00E3754A">
        <w:rPr>
          <w:lang w:val="en-AU"/>
        </w:rPr>
        <w:t xml:space="preserve"> disabled people, including who should provide and receive such resourcing.</w:t>
      </w:r>
    </w:p>
    <w:p w14:paraId="1B2902E5" w14:textId="77777777" w:rsidR="00EB1409" w:rsidRPr="00E3754A" w:rsidRDefault="00EB1409" w:rsidP="00EB1409">
      <w:pPr>
        <w:pStyle w:val="NoSpacing"/>
        <w:rPr>
          <w:iCs/>
          <w:lang w:val="en-AU"/>
        </w:rPr>
      </w:pPr>
      <w:r w:rsidRPr="00E3754A">
        <w:rPr>
          <w:iCs/>
          <w:lang w:val="en-AU"/>
        </w:rPr>
        <w:t>The report concludes with a discussion of key themes and future challenges and a list of relevant resources on Article 12 and supported decision-making actions and activities being undertaken by other states parties. Relevant examples of activity related to Article 12 are highlighted through the use of coloured text boxes throughout the report.</w:t>
      </w:r>
    </w:p>
    <w:p w14:paraId="704B9108" w14:textId="77777777" w:rsidR="00D132D7" w:rsidRPr="00E3754A" w:rsidRDefault="00D132D7">
      <w:pPr>
        <w:spacing w:line="240" w:lineRule="auto"/>
        <w:jc w:val="left"/>
        <w:rPr>
          <w:iCs/>
          <w:lang w:val="en-AU"/>
        </w:rPr>
      </w:pPr>
      <w:r w:rsidRPr="00E3754A">
        <w:rPr>
          <w:iCs/>
          <w:lang w:val="en-AU"/>
        </w:rPr>
        <w:br w:type="page"/>
      </w:r>
    </w:p>
    <w:tbl>
      <w:tblPr>
        <w:tblStyle w:val="Style5"/>
        <w:tblW w:w="5000" w:type="pct"/>
        <w:tblLook w:val="04A0" w:firstRow="1" w:lastRow="0" w:firstColumn="1" w:lastColumn="0" w:noHBand="0" w:noVBand="1"/>
      </w:tblPr>
      <w:tblGrid>
        <w:gridCol w:w="9236"/>
      </w:tblGrid>
      <w:tr w:rsidR="006A4DC7" w:rsidRPr="00E3754A" w14:paraId="7744D2F0" w14:textId="0847D52D" w:rsidTr="006A4DC7">
        <w:tc>
          <w:tcPr>
            <w:tcW w:w="5000" w:type="pct"/>
          </w:tcPr>
          <w:p w14:paraId="4CABD630" w14:textId="3F7B5B0D" w:rsidR="006A4DC7" w:rsidRPr="00E3754A" w:rsidRDefault="0073508F" w:rsidP="002606ED">
            <w:pPr>
              <w:pStyle w:val="Heading1"/>
              <w:rPr>
                <w:lang w:val="en-AU"/>
              </w:rPr>
            </w:pPr>
            <w:bookmarkStart w:id="26" w:name="_Toc334695909"/>
            <w:bookmarkStart w:id="27" w:name="_Toc460960162"/>
            <w:bookmarkStart w:id="28" w:name="_Toc337970277"/>
            <w:bookmarkStart w:id="29" w:name="_Toc339036843"/>
            <w:r w:rsidRPr="00E3754A">
              <w:rPr>
                <w:lang w:val="en-AU"/>
              </w:rPr>
              <w:t>Part One:</w:t>
            </w:r>
            <w:r w:rsidR="006F7CE1" w:rsidRPr="00E3754A">
              <w:rPr>
                <w:lang w:val="en-AU"/>
              </w:rPr>
              <w:t xml:space="preserve"> </w:t>
            </w:r>
            <w:r w:rsidR="006A4DC7" w:rsidRPr="00E3754A">
              <w:rPr>
                <w:lang w:val="en-AU"/>
              </w:rPr>
              <w:t>The Convention on the Righ</w:t>
            </w:r>
            <w:r w:rsidRPr="00E3754A">
              <w:rPr>
                <w:lang w:val="en-AU"/>
              </w:rPr>
              <w:t>ts of Persons with Disabilities –</w:t>
            </w:r>
            <w:r w:rsidR="006A4DC7" w:rsidRPr="00E3754A">
              <w:rPr>
                <w:lang w:val="en-AU"/>
              </w:rPr>
              <w:t xml:space="preserve"> An </w:t>
            </w:r>
            <w:bookmarkEnd w:id="26"/>
            <w:bookmarkEnd w:id="27"/>
            <w:r w:rsidR="0030233C" w:rsidRPr="00E3754A">
              <w:rPr>
                <w:lang w:val="en-AU"/>
              </w:rPr>
              <w:t>overview</w:t>
            </w:r>
            <w:bookmarkEnd w:id="28"/>
            <w:bookmarkEnd w:id="29"/>
          </w:p>
        </w:tc>
      </w:tr>
    </w:tbl>
    <w:bookmarkEnd w:id="0"/>
    <w:p w14:paraId="265D49C9" w14:textId="17615509" w:rsidR="006A4DC7" w:rsidRPr="00E3754A" w:rsidRDefault="006A4DC7" w:rsidP="006A4DC7">
      <w:pPr>
        <w:pStyle w:val="NoSpacing"/>
        <w:rPr>
          <w:lang w:val="en-AU"/>
        </w:rPr>
      </w:pPr>
      <w:r w:rsidRPr="00E3754A">
        <w:rPr>
          <w:lang w:val="en-AU"/>
        </w:rPr>
        <w:t>The United Nations Convention on the Rights of Persons with Disabilities (hereafter “Convention”) is an international human rights treaty promulgated by the United Nations to clarify, enshrine and enact the rights of persons with disabilities in its member states</w:t>
      </w:r>
      <w:r w:rsidR="00CC750B" w:rsidRPr="00E3754A">
        <w:rPr>
          <w:lang w:val="en-AU"/>
        </w:rPr>
        <w:t xml:space="preserve"> (see Kerzner, 2011)</w:t>
      </w:r>
      <w:r w:rsidRPr="00E3754A">
        <w:rPr>
          <w:lang w:val="en-AU"/>
        </w:rPr>
        <w:t xml:space="preserve">. </w:t>
      </w:r>
      <w:r w:rsidR="00542290" w:rsidRPr="00E3754A">
        <w:rPr>
          <w:lang w:val="en-AU"/>
        </w:rPr>
        <w:t xml:space="preserve">It consists of 50 articles and a preamble setting out </w:t>
      </w:r>
      <w:r w:rsidR="00FA30D7" w:rsidRPr="00E3754A">
        <w:rPr>
          <w:lang w:val="en-AU"/>
        </w:rPr>
        <w:t>states parties</w:t>
      </w:r>
      <w:r w:rsidR="00542290" w:rsidRPr="00E3754A">
        <w:rPr>
          <w:lang w:val="en-AU"/>
        </w:rPr>
        <w:t xml:space="preserve">’ obligations. </w:t>
      </w:r>
      <w:r w:rsidR="007B3FC3" w:rsidRPr="00E3754A">
        <w:rPr>
          <w:iCs/>
          <w:lang w:val="en-AU"/>
        </w:rPr>
        <w:t xml:space="preserve">The Committee on the Rights of Persons with Disabilities was set up as a mechanism </w:t>
      </w:r>
      <w:r w:rsidR="007E0715" w:rsidRPr="00E3754A">
        <w:rPr>
          <w:iCs/>
          <w:lang w:val="en-AU"/>
        </w:rPr>
        <w:t>for monitoring</w:t>
      </w:r>
      <w:r w:rsidR="007B3FC3" w:rsidRPr="00E3754A">
        <w:rPr>
          <w:iCs/>
          <w:lang w:val="en-AU"/>
        </w:rPr>
        <w:t xml:space="preserve"> the Convention (Series et al., 2014). </w:t>
      </w:r>
      <w:r w:rsidRPr="00E3754A">
        <w:rPr>
          <w:iCs/>
          <w:lang w:val="en-AU"/>
        </w:rPr>
        <w:t>New Zealand became a signatory to the Convention in 2007 alongside 81 other states and later ratified the convention on the 26</w:t>
      </w:r>
      <w:r w:rsidRPr="00E3754A">
        <w:rPr>
          <w:iCs/>
          <w:vertAlign w:val="superscript"/>
          <w:lang w:val="en-AU"/>
        </w:rPr>
        <w:t>th</w:t>
      </w:r>
      <w:r w:rsidRPr="00E3754A">
        <w:rPr>
          <w:iCs/>
          <w:lang w:val="en-AU"/>
        </w:rPr>
        <w:t xml:space="preserve"> September 2008 (Milner &amp; Mirfin-Veitch, 2012; </w:t>
      </w:r>
      <w:r w:rsidR="00F73BDA" w:rsidRPr="00E3754A">
        <w:rPr>
          <w:iCs/>
          <w:lang w:val="en-AU"/>
        </w:rPr>
        <w:t>“United Nations Convention,” 2016</w:t>
      </w:r>
      <w:r w:rsidRPr="00E3754A">
        <w:rPr>
          <w:iCs/>
          <w:lang w:val="en-AU"/>
        </w:rPr>
        <w:t>).</w:t>
      </w:r>
      <w:r w:rsidR="00760185" w:rsidRPr="00E3754A">
        <w:rPr>
          <w:rStyle w:val="FootnoteReference"/>
          <w:iCs/>
          <w:lang w:val="en-AU"/>
        </w:rPr>
        <w:footnoteReference w:id="1"/>
      </w:r>
      <w:r w:rsidR="007B3FC3" w:rsidRPr="00E3754A">
        <w:rPr>
          <w:iCs/>
          <w:lang w:val="en-AU"/>
        </w:rPr>
        <w:t xml:space="preserve"> </w:t>
      </w:r>
      <w:r w:rsidRPr="00E3754A">
        <w:rPr>
          <w:iCs/>
          <w:lang w:val="en-AU"/>
        </w:rPr>
        <w:t xml:space="preserve">Since then, the Convention has achieved 166 ratifications and </w:t>
      </w:r>
      <w:r w:rsidR="007E0715" w:rsidRPr="00E3754A">
        <w:rPr>
          <w:iCs/>
          <w:lang w:val="en-AU"/>
        </w:rPr>
        <w:t>90</w:t>
      </w:r>
      <w:r w:rsidRPr="00E3754A">
        <w:rPr>
          <w:iCs/>
          <w:lang w:val="en-AU"/>
        </w:rPr>
        <w:t xml:space="preserve"> ratifications to the Optional Protocol (</w:t>
      </w:r>
      <w:r w:rsidR="00F73BDA" w:rsidRPr="00E3754A">
        <w:rPr>
          <w:iCs/>
          <w:lang w:val="en-AU"/>
        </w:rPr>
        <w:t>“Up to today,” 2016</w:t>
      </w:r>
      <w:r w:rsidRPr="00E3754A">
        <w:rPr>
          <w:iCs/>
          <w:lang w:val="en-AU"/>
        </w:rPr>
        <w:t xml:space="preserve">). </w:t>
      </w:r>
      <w:r w:rsidR="004070FE" w:rsidRPr="00E3754A">
        <w:rPr>
          <w:iCs/>
          <w:lang w:val="en-AU"/>
        </w:rPr>
        <w:t>In ratifying the Convention, New</w:t>
      </w:r>
      <w:r w:rsidR="005C163A" w:rsidRPr="00E3754A">
        <w:rPr>
          <w:iCs/>
          <w:lang w:val="en-AU"/>
        </w:rPr>
        <w:t xml:space="preserve"> Zealand accepted that it has </w:t>
      </w:r>
      <w:r w:rsidRPr="00E3754A">
        <w:rPr>
          <w:iCs/>
          <w:lang w:val="en-AU"/>
        </w:rPr>
        <w:t>an obligation to give effect to the fundamental rights and freedoms of persons with disabilities within the duties set out by the Convention</w:t>
      </w:r>
      <w:r w:rsidR="007B3FC3" w:rsidRPr="00E3754A">
        <w:rPr>
          <w:iCs/>
          <w:lang w:val="en-AU"/>
        </w:rPr>
        <w:t xml:space="preserve"> (see Series et al., 2014)</w:t>
      </w:r>
      <w:r w:rsidRPr="00E3754A">
        <w:rPr>
          <w:iCs/>
          <w:lang w:val="en-AU"/>
        </w:rPr>
        <w:t xml:space="preserve">. This includes </w:t>
      </w:r>
      <w:r w:rsidR="006F2D0D" w:rsidRPr="00E3754A">
        <w:rPr>
          <w:iCs/>
          <w:lang w:val="en-AU"/>
        </w:rPr>
        <w:t>the obligation</w:t>
      </w:r>
      <w:r w:rsidR="00542290" w:rsidRPr="00E3754A">
        <w:rPr>
          <w:iCs/>
          <w:lang w:val="en-AU"/>
        </w:rPr>
        <w:t xml:space="preserve"> to give effect to disabled pe</w:t>
      </w:r>
      <w:r w:rsidR="003F461D" w:rsidRPr="00E3754A">
        <w:rPr>
          <w:iCs/>
          <w:lang w:val="en-AU"/>
        </w:rPr>
        <w:t>ople</w:t>
      </w:r>
      <w:r w:rsidR="00D86544">
        <w:rPr>
          <w:iCs/>
          <w:lang w:val="en-AU"/>
        </w:rPr>
        <w:t>’</w:t>
      </w:r>
      <w:r w:rsidR="003F461D" w:rsidRPr="00E3754A">
        <w:rPr>
          <w:iCs/>
          <w:lang w:val="en-AU"/>
        </w:rPr>
        <w:t>s</w:t>
      </w:r>
      <w:r w:rsidR="00542290" w:rsidRPr="00E3754A">
        <w:rPr>
          <w:iCs/>
          <w:lang w:val="en-AU"/>
        </w:rPr>
        <w:t xml:space="preserve"> </w:t>
      </w:r>
      <w:r w:rsidRPr="00E3754A">
        <w:rPr>
          <w:iCs/>
          <w:lang w:val="en-AU"/>
        </w:rPr>
        <w:t xml:space="preserve">equal recognition before the law under Article 12. </w:t>
      </w:r>
      <w:r w:rsidRPr="00E3754A">
        <w:rPr>
          <w:lang w:val="en-AU"/>
        </w:rPr>
        <w:t>In ratifying th</w:t>
      </w:r>
      <w:r w:rsidR="00F30045" w:rsidRPr="00E3754A">
        <w:rPr>
          <w:lang w:val="en-AU"/>
        </w:rPr>
        <w:t>e Convention, New Zealand has a</w:t>
      </w:r>
      <w:r w:rsidRPr="00E3754A">
        <w:rPr>
          <w:lang w:val="en-AU"/>
        </w:rPr>
        <w:t xml:space="preserve"> </w:t>
      </w:r>
      <w:r w:rsidR="00602BC2" w:rsidRPr="00E3754A">
        <w:rPr>
          <w:lang w:val="en-AU"/>
        </w:rPr>
        <w:t>duty</w:t>
      </w:r>
      <w:r w:rsidRPr="00E3754A">
        <w:rPr>
          <w:lang w:val="en-AU"/>
        </w:rPr>
        <w:t xml:space="preserve"> to ensure strong and timely steps are made toward implementation.</w:t>
      </w:r>
      <w:r w:rsidR="00933B89" w:rsidRPr="00E3754A">
        <w:rPr>
          <w:lang w:val="en-AU"/>
        </w:rPr>
        <w:t xml:space="preserve"> The imperative to </w:t>
      </w:r>
      <w:r w:rsidR="00CE6F62">
        <w:rPr>
          <w:lang w:val="en-AU"/>
        </w:rPr>
        <w:t>meet</w:t>
      </w:r>
      <w:r w:rsidR="00933B89" w:rsidRPr="00E3754A">
        <w:rPr>
          <w:lang w:val="en-AU"/>
        </w:rPr>
        <w:t xml:space="preserve"> these obligations is underpinned by </w:t>
      </w:r>
      <w:r w:rsidR="00602BC2" w:rsidRPr="00E3754A">
        <w:rPr>
          <w:lang w:val="en-AU"/>
        </w:rPr>
        <w:t>an acknowledgement</w:t>
      </w:r>
      <w:r w:rsidR="00933B89" w:rsidRPr="00E3754A">
        <w:rPr>
          <w:lang w:val="en-AU"/>
        </w:rPr>
        <w:t xml:space="preserve"> that disabled people, both historically and currently, have not always received equal recognition before the law due to attitudinal and legislative contexts that obstruct the</w:t>
      </w:r>
      <w:r w:rsidR="00602BC2" w:rsidRPr="00E3754A">
        <w:rPr>
          <w:lang w:val="en-AU"/>
        </w:rPr>
        <w:t>m from</w:t>
      </w:r>
      <w:r w:rsidR="00933B89" w:rsidRPr="00E3754A">
        <w:rPr>
          <w:lang w:val="en-AU"/>
        </w:rPr>
        <w:t xml:space="preserve"> exercis</w:t>
      </w:r>
      <w:r w:rsidR="00602BC2" w:rsidRPr="00E3754A">
        <w:rPr>
          <w:lang w:val="en-AU"/>
        </w:rPr>
        <w:t>ing</w:t>
      </w:r>
      <w:r w:rsidR="00933B89" w:rsidRPr="00E3754A">
        <w:rPr>
          <w:lang w:val="en-AU"/>
        </w:rPr>
        <w:t xml:space="preserve"> legal capacity.</w:t>
      </w:r>
    </w:p>
    <w:p w14:paraId="63E45C97" w14:textId="688C23DF" w:rsidR="006A4DC7" w:rsidRPr="00E3754A" w:rsidRDefault="00542290" w:rsidP="006A4DC7">
      <w:pPr>
        <w:pStyle w:val="NoSpacing"/>
        <w:rPr>
          <w:lang w:val="en-AU"/>
        </w:rPr>
      </w:pPr>
      <w:r w:rsidRPr="00E3754A">
        <w:rPr>
          <w:lang w:val="en-AU"/>
        </w:rPr>
        <w:t>Amongst the Convention’s 50 Articles,</w:t>
      </w:r>
      <w:r w:rsidR="006A4DC7" w:rsidRPr="00E3754A">
        <w:rPr>
          <w:lang w:val="en-AU"/>
        </w:rPr>
        <w:t xml:space="preserve"> Article 1 sets out the purpose of the Convention to:</w:t>
      </w:r>
    </w:p>
    <w:p w14:paraId="4AC0EC04" w14:textId="77777777" w:rsidR="006A4DC7" w:rsidRPr="00E3754A" w:rsidRDefault="006A4DC7" w:rsidP="00B65E4B">
      <w:pPr>
        <w:pStyle w:val="Quote"/>
        <w:rPr>
          <w:lang w:val="en-AU"/>
        </w:rPr>
      </w:pPr>
      <w:r w:rsidRPr="00E3754A">
        <w:rPr>
          <w:lang w:val="en-AU"/>
        </w:rPr>
        <w:t>promote, protect and ensure the full and equal enjoyment of all human rights and fundamental freedoms by all persons with disabilities, and to promote respect for their inherent dignity.</w:t>
      </w:r>
    </w:p>
    <w:p w14:paraId="2A8BCEF4" w14:textId="00FFCB20" w:rsidR="008F4ECC" w:rsidRPr="00E3754A" w:rsidRDefault="006A4DC7" w:rsidP="006A4DC7">
      <w:pPr>
        <w:pStyle w:val="NoSpacing"/>
        <w:rPr>
          <w:iCs/>
          <w:lang w:val="en-AU"/>
        </w:rPr>
      </w:pPr>
      <w:r w:rsidRPr="00E3754A">
        <w:rPr>
          <w:iCs/>
          <w:lang w:val="en-AU"/>
        </w:rPr>
        <w:t xml:space="preserve">Articles 2 and 3 set out definitions and communication of the Convention, whilst Articles 4 to 32 set out the responsibilities of states to persons with disabilities. </w:t>
      </w:r>
    </w:p>
    <w:p w14:paraId="26DDD2DC" w14:textId="0C07F3D1" w:rsidR="008F4ECC" w:rsidRPr="00E3754A" w:rsidRDefault="006A4DC7" w:rsidP="008F4ECC">
      <w:pPr>
        <w:pStyle w:val="NoSpacing"/>
        <w:rPr>
          <w:iCs/>
          <w:lang w:val="en-AU"/>
        </w:rPr>
      </w:pPr>
      <w:r w:rsidRPr="00E3754A">
        <w:rPr>
          <w:iCs/>
          <w:lang w:val="en-AU"/>
        </w:rPr>
        <w:t xml:space="preserve">Article 12, the focus of </w:t>
      </w:r>
      <w:r w:rsidR="004C1EED" w:rsidRPr="00E3754A">
        <w:rPr>
          <w:iCs/>
          <w:lang w:val="en-AU"/>
        </w:rPr>
        <w:t>the current</w:t>
      </w:r>
      <w:r w:rsidRPr="00E3754A">
        <w:rPr>
          <w:iCs/>
          <w:lang w:val="en-AU"/>
        </w:rPr>
        <w:t xml:space="preserve"> report, specifies the concept of legal capacity as an absolute, non-derogable right for all persons irrespective of disability, and introduces the </w:t>
      </w:r>
      <w:r w:rsidR="00DA66D6" w:rsidRPr="00E3754A">
        <w:rPr>
          <w:iCs/>
          <w:lang w:val="en-AU"/>
        </w:rPr>
        <w:t>notion that</w:t>
      </w:r>
      <w:r w:rsidRPr="00E3754A">
        <w:rPr>
          <w:iCs/>
          <w:lang w:val="en-AU"/>
        </w:rPr>
        <w:t xml:space="preserve"> states </w:t>
      </w:r>
      <w:r w:rsidR="00DA66D6" w:rsidRPr="00E3754A">
        <w:rPr>
          <w:iCs/>
          <w:lang w:val="en-AU"/>
        </w:rPr>
        <w:t>are responsible for ensuring</w:t>
      </w:r>
      <w:r w:rsidRPr="00E3754A">
        <w:rPr>
          <w:iCs/>
          <w:lang w:val="en-AU"/>
        </w:rPr>
        <w:t xml:space="preserve"> that persons with diminished or impeded mental capacity receive adequate support to exercise their legal capacity through decision-making.</w:t>
      </w:r>
      <w:r w:rsidR="008F4ECC" w:rsidRPr="00E3754A">
        <w:rPr>
          <w:iCs/>
          <w:lang w:val="en-AU"/>
        </w:rPr>
        <w:t xml:space="preserve"> Firstly, this </w:t>
      </w:r>
      <w:r w:rsidR="00194D05" w:rsidRPr="00E3754A">
        <w:rPr>
          <w:iCs/>
          <w:lang w:val="en-AU"/>
        </w:rPr>
        <w:t xml:space="preserve">requires the abolition of </w:t>
      </w:r>
      <w:r w:rsidR="008F4ECC" w:rsidRPr="00E3754A">
        <w:rPr>
          <w:iCs/>
          <w:lang w:val="en-AU"/>
        </w:rPr>
        <w:t xml:space="preserve">capacity tests and notions </w:t>
      </w:r>
      <w:r w:rsidR="00D86544">
        <w:rPr>
          <w:iCs/>
          <w:lang w:val="en-AU"/>
        </w:rPr>
        <w:t xml:space="preserve">of </w:t>
      </w:r>
      <w:r w:rsidR="008F4ECC" w:rsidRPr="00E3754A">
        <w:rPr>
          <w:iCs/>
          <w:lang w:val="en-AU"/>
        </w:rPr>
        <w:t>legal incapacity (</w:t>
      </w:r>
      <w:r w:rsidR="008F4ECC" w:rsidRPr="00E3754A">
        <w:rPr>
          <w:szCs w:val="20"/>
          <w:lang w:val="en-AU"/>
        </w:rPr>
        <w:t>Flynn &amp; Arstein-Kerslake, 2014</w:t>
      </w:r>
      <w:r w:rsidR="008F4ECC" w:rsidRPr="00E3754A">
        <w:rPr>
          <w:iCs/>
          <w:lang w:val="en-AU"/>
        </w:rPr>
        <w:t>). Secondly, t</w:t>
      </w:r>
      <w:r w:rsidRPr="00E3754A">
        <w:rPr>
          <w:iCs/>
          <w:lang w:val="en-AU"/>
        </w:rPr>
        <w:t>he General Comment to the Convention (</w:t>
      </w:r>
      <w:r w:rsidR="005449DE" w:rsidRPr="00E3754A">
        <w:rPr>
          <w:iCs/>
          <w:lang w:val="en-AU"/>
        </w:rPr>
        <w:t xml:space="preserve">General Comment No. 1, </w:t>
      </w:r>
      <w:r w:rsidR="00DA6F76" w:rsidRPr="00E3754A">
        <w:rPr>
          <w:iCs/>
          <w:lang w:val="en-AU"/>
        </w:rPr>
        <w:t>2014</w:t>
      </w:r>
      <w:r w:rsidRPr="00E3754A">
        <w:rPr>
          <w:iCs/>
          <w:lang w:val="en-AU"/>
        </w:rPr>
        <w:t>) further clarifies that supported decision-making is intended to replace substitute decision-making in all its forms, including guardianship and other proxy decision-making mechanisms, irrespective of a person’s disability</w:t>
      </w:r>
      <w:r w:rsidR="000A72EA" w:rsidRPr="00E3754A">
        <w:rPr>
          <w:iCs/>
          <w:lang w:val="en-AU"/>
        </w:rPr>
        <w:t xml:space="preserve"> (also see </w:t>
      </w:r>
      <w:r w:rsidR="000A72EA" w:rsidRPr="00E3754A">
        <w:rPr>
          <w:lang w:val="en-AU"/>
        </w:rPr>
        <w:t>Arstein-Kerslake, 2014</w:t>
      </w:r>
      <w:r w:rsidR="00E850C2">
        <w:rPr>
          <w:lang w:val="en-AU"/>
        </w:rPr>
        <w:t>; WNUSP, 2008</w:t>
      </w:r>
      <w:r w:rsidR="00E850C2">
        <w:rPr>
          <w:rStyle w:val="FootnoteReference"/>
          <w:lang w:val="en-AU"/>
        </w:rPr>
        <w:footnoteReference w:id="2"/>
      </w:r>
      <w:r w:rsidR="000A72EA" w:rsidRPr="00E3754A">
        <w:rPr>
          <w:lang w:val="en-AU"/>
        </w:rPr>
        <w:t>)</w:t>
      </w:r>
      <w:r w:rsidRPr="00E3754A">
        <w:rPr>
          <w:iCs/>
          <w:lang w:val="en-AU"/>
        </w:rPr>
        <w:t>.</w:t>
      </w:r>
      <w:r w:rsidR="00194D05" w:rsidRPr="00E3754A">
        <w:rPr>
          <w:iCs/>
          <w:lang w:val="en-AU"/>
        </w:rPr>
        <w:t xml:space="preserve"> </w:t>
      </w:r>
      <w:r w:rsidR="008F4ECC" w:rsidRPr="00E3754A">
        <w:rPr>
          <w:iCs/>
          <w:lang w:val="en-AU"/>
        </w:rPr>
        <w:t xml:space="preserve">On the basis of the </w:t>
      </w:r>
      <w:r w:rsidR="00194D05" w:rsidRPr="00E3754A">
        <w:rPr>
          <w:iCs/>
          <w:lang w:val="en-AU"/>
        </w:rPr>
        <w:t>intent</w:t>
      </w:r>
      <w:r w:rsidR="008F4ECC" w:rsidRPr="00E3754A">
        <w:rPr>
          <w:iCs/>
          <w:lang w:val="en-AU"/>
        </w:rPr>
        <w:t xml:space="preserve"> and purpose </w:t>
      </w:r>
      <w:r w:rsidR="007E0715" w:rsidRPr="00E3754A">
        <w:rPr>
          <w:iCs/>
          <w:lang w:val="en-AU"/>
        </w:rPr>
        <w:t xml:space="preserve">underpinning </w:t>
      </w:r>
      <w:r w:rsidR="008F4ECC" w:rsidRPr="00E3754A">
        <w:rPr>
          <w:iCs/>
          <w:lang w:val="en-AU"/>
        </w:rPr>
        <w:t xml:space="preserve">the Convention, </w:t>
      </w:r>
      <w:r w:rsidR="00176BE0" w:rsidRPr="00E3754A">
        <w:rPr>
          <w:iCs/>
          <w:lang w:val="en-AU"/>
        </w:rPr>
        <w:t>it is percei</w:t>
      </w:r>
      <w:r w:rsidR="00194D05" w:rsidRPr="00E3754A">
        <w:rPr>
          <w:iCs/>
          <w:lang w:val="en-AU"/>
        </w:rPr>
        <w:t>ved that</w:t>
      </w:r>
      <w:r w:rsidR="008F4ECC" w:rsidRPr="00E3754A">
        <w:rPr>
          <w:iCs/>
          <w:lang w:val="en-AU"/>
        </w:rPr>
        <w:t xml:space="preserve"> substituted decision-making model</w:t>
      </w:r>
      <w:r w:rsidR="007E48DD" w:rsidRPr="00E3754A">
        <w:rPr>
          <w:iCs/>
          <w:lang w:val="en-AU"/>
        </w:rPr>
        <w:t>s are</w:t>
      </w:r>
      <w:r w:rsidR="008F4ECC" w:rsidRPr="00E3754A">
        <w:rPr>
          <w:iCs/>
          <w:lang w:val="en-AU"/>
        </w:rPr>
        <w:t xml:space="preserve"> inconsistent with the </w:t>
      </w:r>
      <w:r w:rsidR="00194D05" w:rsidRPr="00E3754A">
        <w:rPr>
          <w:iCs/>
          <w:lang w:val="en-AU"/>
        </w:rPr>
        <w:t>Convention</w:t>
      </w:r>
      <w:r w:rsidR="008F4ECC" w:rsidRPr="00E3754A">
        <w:rPr>
          <w:iCs/>
          <w:lang w:val="en-AU"/>
        </w:rPr>
        <w:t xml:space="preserve"> on the basis of the following characteristics</w:t>
      </w:r>
      <w:r w:rsidR="00317EBB" w:rsidRPr="00E3754A">
        <w:rPr>
          <w:iCs/>
          <w:lang w:val="en-AU"/>
        </w:rPr>
        <w:t xml:space="preserve"> (see Arstein-Kerslake &amp; Flynn, 2015; Gooding, 2015; Stavert, 2015</w:t>
      </w:r>
      <w:r w:rsidR="007B3FC3" w:rsidRPr="00E3754A">
        <w:rPr>
          <w:iCs/>
          <w:lang w:val="en-AU"/>
        </w:rPr>
        <w:t>; Series et al., 2014</w:t>
      </w:r>
      <w:r w:rsidR="00317EBB" w:rsidRPr="00E3754A">
        <w:rPr>
          <w:iCs/>
          <w:lang w:val="en-AU"/>
        </w:rPr>
        <w:t>)</w:t>
      </w:r>
      <w:r w:rsidR="008F4ECC" w:rsidRPr="00E3754A">
        <w:rPr>
          <w:iCs/>
          <w:lang w:val="en-AU"/>
        </w:rPr>
        <w:t>:</w:t>
      </w:r>
    </w:p>
    <w:p w14:paraId="26EEF793" w14:textId="77777777" w:rsidR="008F4ECC" w:rsidRPr="00E3754A" w:rsidRDefault="008F4ECC" w:rsidP="007E51DB">
      <w:pPr>
        <w:pStyle w:val="NoSpacing"/>
        <w:numPr>
          <w:ilvl w:val="0"/>
          <w:numId w:val="14"/>
        </w:numPr>
        <w:rPr>
          <w:iCs/>
          <w:lang w:val="en-AU"/>
        </w:rPr>
      </w:pPr>
      <w:r w:rsidRPr="00E3754A">
        <w:rPr>
          <w:iCs/>
          <w:lang w:val="en-AU"/>
        </w:rPr>
        <w:t>It involves the removal of a person’s capacity (even if only for a single decision).</w:t>
      </w:r>
    </w:p>
    <w:p w14:paraId="389C77FA" w14:textId="77777777" w:rsidR="008F4ECC" w:rsidRPr="00E3754A" w:rsidRDefault="008F4ECC" w:rsidP="007E51DB">
      <w:pPr>
        <w:pStyle w:val="NoSpacing"/>
        <w:numPr>
          <w:ilvl w:val="0"/>
          <w:numId w:val="14"/>
        </w:numPr>
        <w:rPr>
          <w:iCs/>
          <w:lang w:val="en-AU"/>
        </w:rPr>
      </w:pPr>
      <w:r w:rsidRPr="00E3754A">
        <w:rPr>
          <w:iCs/>
          <w:lang w:val="en-AU"/>
        </w:rPr>
        <w:t>It can involve the appointment of a substitute decision-maker, who is someone other than the person concerned, even against the will of the person with a disability.</w:t>
      </w:r>
    </w:p>
    <w:p w14:paraId="2B50C450" w14:textId="1F98F69C" w:rsidR="00F72DA2" w:rsidRPr="00E3754A" w:rsidRDefault="008F4ECC" w:rsidP="007E51DB">
      <w:pPr>
        <w:pStyle w:val="NoSpacing"/>
        <w:numPr>
          <w:ilvl w:val="0"/>
          <w:numId w:val="14"/>
        </w:numPr>
        <w:rPr>
          <w:lang w:val="en-AU"/>
        </w:rPr>
      </w:pPr>
      <w:r w:rsidRPr="00E3754A">
        <w:rPr>
          <w:lang w:val="en-AU"/>
        </w:rPr>
        <w:t xml:space="preserve">It involves an objective ‘best interests’ judgement behind the decision made by the substitute decision-maker (in other words, </w:t>
      </w:r>
      <w:r w:rsidR="00477252" w:rsidRPr="00E3754A">
        <w:rPr>
          <w:lang w:val="en-AU"/>
        </w:rPr>
        <w:t>the rights, will and preference</w:t>
      </w:r>
      <w:r w:rsidRPr="00E3754A">
        <w:rPr>
          <w:lang w:val="en-AU"/>
        </w:rPr>
        <w:t xml:space="preserve"> of the person </w:t>
      </w:r>
      <w:r w:rsidR="00477252" w:rsidRPr="00E3754A">
        <w:rPr>
          <w:lang w:val="en-AU"/>
        </w:rPr>
        <w:t xml:space="preserve">are not </w:t>
      </w:r>
      <w:r w:rsidR="00477252" w:rsidRPr="00225FF4">
        <w:rPr>
          <w:i/>
          <w:lang w:val="en-AU"/>
        </w:rPr>
        <w:t>central</w:t>
      </w:r>
      <w:r w:rsidR="00477252" w:rsidRPr="00E3754A">
        <w:rPr>
          <w:lang w:val="en-AU"/>
        </w:rPr>
        <w:t xml:space="preserve"> to any decisions</w:t>
      </w:r>
      <w:r w:rsidR="00EF2C1B" w:rsidRPr="00E3754A">
        <w:rPr>
          <w:lang w:val="en-AU"/>
        </w:rPr>
        <w:t>)</w:t>
      </w:r>
      <w:r w:rsidR="00EF2C1B" w:rsidRPr="00E3754A">
        <w:rPr>
          <w:iCs/>
          <w:lang w:val="en-AU"/>
        </w:rPr>
        <w:t>.</w:t>
      </w:r>
    </w:p>
    <w:p w14:paraId="3EB8EEE3" w14:textId="593431D1" w:rsidR="0044071E" w:rsidRPr="00E3754A" w:rsidRDefault="00602BC2" w:rsidP="00CB01F0">
      <w:pPr>
        <w:pStyle w:val="NoSpacing"/>
        <w:rPr>
          <w:lang w:val="en-AU"/>
        </w:rPr>
      </w:pPr>
      <w:r w:rsidRPr="00E3754A">
        <w:rPr>
          <w:lang w:val="en-AU"/>
        </w:rPr>
        <w:t>While the key elements of this position will be explored in greater depth later in this report, it is important to articulate here that t</w:t>
      </w:r>
      <w:r w:rsidR="0044071E" w:rsidRPr="00E3754A">
        <w:rPr>
          <w:lang w:val="en-AU"/>
        </w:rPr>
        <w:t xml:space="preserve">here is </w:t>
      </w:r>
      <w:r w:rsidRPr="00E3754A">
        <w:rPr>
          <w:lang w:val="en-AU"/>
        </w:rPr>
        <w:t xml:space="preserve">an </w:t>
      </w:r>
      <w:r w:rsidR="0044071E" w:rsidRPr="00E3754A">
        <w:rPr>
          <w:lang w:val="en-AU"/>
        </w:rPr>
        <w:t>expectation that states move from a consideration of best interests to facilitating the will and preference of the decision-maker</w:t>
      </w:r>
      <w:r w:rsidR="00B556FD" w:rsidRPr="00E3754A">
        <w:rPr>
          <w:lang w:val="en-AU"/>
        </w:rPr>
        <w:t xml:space="preserve"> (also see Dickey, 2016; Watson, 2016a)</w:t>
      </w:r>
      <w:r w:rsidR="0044071E" w:rsidRPr="00E3754A">
        <w:rPr>
          <w:lang w:val="en-AU"/>
        </w:rPr>
        <w:t>. This constitutes a departure from the</w:t>
      </w:r>
      <w:r w:rsidR="0022135E" w:rsidRPr="00E3754A">
        <w:rPr>
          <w:lang w:val="en-AU"/>
        </w:rPr>
        <w:t xml:space="preserve"> widespread</w:t>
      </w:r>
      <w:r w:rsidR="0044071E" w:rsidRPr="00E3754A">
        <w:rPr>
          <w:lang w:val="en-AU"/>
        </w:rPr>
        <w:t xml:space="preserve"> practice of making proxy decisions based on an assessment of what is in the best interests of </w:t>
      </w:r>
      <w:r w:rsidR="0022135E" w:rsidRPr="00E3754A">
        <w:rPr>
          <w:lang w:val="en-AU"/>
        </w:rPr>
        <w:t>a</w:t>
      </w:r>
      <w:r w:rsidR="0044071E" w:rsidRPr="00E3754A">
        <w:rPr>
          <w:lang w:val="en-AU"/>
        </w:rPr>
        <w:t xml:space="preserve"> p</w:t>
      </w:r>
      <w:r w:rsidR="00B556FD" w:rsidRPr="00E3754A">
        <w:rPr>
          <w:lang w:val="en-AU"/>
        </w:rPr>
        <w:t xml:space="preserve">erson </w:t>
      </w:r>
      <w:r w:rsidR="0022135E" w:rsidRPr="00E3754A">
        <w:rPr>
          <w:lang w:val="en-AU"/>
        </w:rPr>
        <w:t>deemed to lack</w:t>
      </w:r>
      <w:r w:rsidR="00B556FD" w:rsidRPr="00E3754A">
        <w:rPr>
          <w:lang w:val="en-AU"/>
        </w:rPr>
        <w:t xml:space="preserve"> mental capacity. </w:t>
      </w:r>
      <w:r w:rsidR="0022135E" w:rsidRPr="00E3754A">
        <w:rPr>
          <w:lang w:val="en-AU"/>
        </w:rPr>
        <w:t>Consequentially, it also requires</w:t>
      </w:r>
      <w:r w:rsidR="00B556FD" w:rsidRPr="00E3754A">
        <w:rPr>
          <w:lang w:val="en-AU"/>
        </w:rPr>
        <w:t xml:space="preserve"> abolition of treatment without consent, civil detention, and certain criminal defences based on disability (Bartlett, 2012). </w:t>
      </w:r>
    </w:p>
    <w:p w14:paraId="1FCCA5DF" w14:textId="0DA72E0D" w:rsidR="00D132D7" w:rsidRPr="00E3754A" w:rsidRDefault="00664893" w:rsidP="00E122FD">
      <w:pPr>
        <w:pStyle w:val="NoSpacing"/>
        <w:rPr>
          <w:iCs/>
          <w:lang w:val="en-AU"/>
        </w:rPr>
      </w:pPr>
      <w:r w:rsidRPr="00E3754A">
        <w:rPr>
          <w:lang w:val="en-AU"/>
        </w:rPr>
        <w:t>Supported decision-making is the proposed model to achieve this significant change</w:t>
      </w:r>
      <w:r w:rsidR="00386F94" w:rsidRPr="00E3754A">
        <w:rPr>
          <w:lang w:val="en-AU"/>
        </w:rPr>
        <w:t xml:space="preserve"> and s</w:t>
      </w:r>
      <w:r w:rsidRPr="00E3754A">
        <w:rPr>
          <w:iCs/>
          <w:lang w:val="en-AU"/>
        </w:rPr>
        <w:t>tates</w:t>
      </w:r>
      <w:r w:rsidR="00317EBB" w:rsidRPr="00E3754A">
        <w:rPr>
          <w:iCs/>
          <w:lang w:val="en-AU"/>
        </w:rPr>
        <w:t xml:space="preserve"> parties</w:t>
      </w:r>
      <w:r w:rsidRPr="00E3754A">
        <w:rPr>
          <w:iCs/>
          <w:lang w:val="en-AU"/>
        </w:rPr>
        <w:t xml:space="preserve"> are required to fully implement the provisions of Article 12 immediately following ratification, unlike the Convention’s other articles</w:t>
      </w:r>
      <w:r w:rsidR="00386F94" w:rsidRPr="00E3754A">
        <w:rPr>
          <w:iCs/>
          <w:lang w:val="en-AU"/>
        </w:rPr>
        <w:t>,</w:t>
      </w:r>
      <w:r w:rsidRPr="00E3754A">
        <w:rPr>
          <w:iCs/>
          <w:lang w:val="en-AU"/>
        </w:rPr>
        <w:t xml:space="preserve"> </w:t>
      </w:r>
      <w:r w:rsidR="00386F94" w:rsidRPr="00E3754A">
        <w:rPr>
          <w:iCs/>
          <w:lang w:val="en-AU"/>
        </w:rPr>
        <w:t>which</w:t>
      </w:r>
      <w:r w:rsidRPr="00E3754A">
        <w:rPr>
          <w:iCs/>
          <w:lang w:val="en-AU"/>
        </w:rPr>
        <w:t xml:space="preserve"> permit a period of transition to full implementation. </w:t>
      </w:r>
      <w:r w:rsidR="00892FCD" w:rsidRPr="00E3754A">
        <w:rPr>
          <w:lang w:val="en-AU"/>
        </w:rPr>
        <w:t>New Zealand</w:t>
      </w:r>
      <w:r w:rsidR="00386F94" w:rsidRPr="00E3754A">
        <w:rPr>
          <w:lang w:val="en-AU"/>
        </w:rPr>
        <w:t xml:space="preserve">, </w:t>
      </w:r>
      <w:r w:rsidR="00892FCD" w:rsidRPr="00E3754A">
        <w:rPr>
          <w:lang w:val="en-AU"/>
        </w:rPr>
        <w:t>along with other states parties must engage with this model, and explore ways to embed it within the public structures of our society and the private lives of disabled people.</w:t>
      </w:r>
      <w:r w:rsidR="00E122FD" w:rsidRPr="00E3754A">
        <w:rPr>
          <w:lang w:val="en-AU"/>
        </w:rPr>
        <w:t xml:space="preserve"> </w:t>
      </w:r>
      <w:r w:rsidR="006901EC" w:rsidRPr="00E3754A">
        <w:rPr>
          <w:iCs/>
          <w:lang w:val="en-AU"/>
        </w:rPr>
        <w:t xml:space="preserve">The implementation of Article 12 </w:t>
      </w:r>
      <w:r w:rsidR="00892FCD" w:rsidRPr="00E3754A">
        <w:rPr>
          <w:iCs/>
          <w:lang w:val="en-AU"/>
        </w:rPr>
        <w:t>can be seen</w:t>
      </w:r>
      <w:r w:rsidR="006901EC" w:rsidRPr="00E3754A">
        <w:rPr>
          <w:iCs/>
          <w:lang w:val="en-AU"/>
        </w:rPr>
        <w:t xml:space="preserve">, therefore, </w:t>
      </w:r>
      <w:r w:rsidR="00892FCD" w:rsidRPr="00E3754A">
        <w:rPr>
          <w:iCs/>
          <w:lang w:val="en-AU"/>
        </w:rPr>
        <w:t xml:space="preserve">as </w:t>
      </w:r>
      <w:r w:rsidR="006901EC" w:rsidRPr="00E3754A">
        <w:rPr>
          <w:iCs/>
          <w:lang w:val="en-AU"/>
        </w:rPr>
        <w:t>a</w:t>
      </w:r>
      <w:r w:rsidR="00696540" w:rsidRPr="00E3754A">
        <w:rPr>
          <w:iCs/>
          <w:lang w:val="en-AU"/>
        </w:rPr>
        <w:t xml:space="preserve"> fluid and developing process</w:t>
      </w:r>
      <w:r w:rsidR="006901EC" w:rsidRPr="00E3754A">
        <w:rPr>
          <w:iCs/>
          <w:lang w:val="en-AU"/>
        </w:rPr>
        <w:t xml:space="preserve"> which </w:t>
      </w:r>
      <w:r w:rsidR="00386F94" w:rsidRPr="00E3754A">
        <w:rPr>
          <w:iCs/>
          <w:lang w:val="en-AU"/>
        </w:rPr>
        <w:t xml:space="preserve">requires </w:t>
      </w:r>
      <w:r w:rsidR="006901EC" w:rsidRPr="00E3754A">
        <w:rPr>
          <w:iCs/>
          <w:lang w:val="en-AU"/>
        </w:rPr>
        <w:t xml:space="preserve">states </w:t>
      </w:r>
      <w:r w:rsidR="00386F94" w:rsidRPr="00E3754A">
        <w:rPr>
          <w:iCs/>
          <w:lang w:val="en-AU"/>
        </w:rPr>
        <w:t xml:space="preserve">parties to </w:t>
      </w:r>
      <w:r w:rsidR="006901EC" w:rsidRPr="00E3754A">
        <w:rPr>
          <w:iCs/>
          <w:lang w:val="en-AU"/>
        </w:rPr>
        <w:t xml:space="preserve">grapple with the implications of </w:t>
      </w:r>
      <w:r w:rsidR="00EA0DC1" w:rsidRPr="00E3754A">
        <w:rPr>
          <w:iCs/>
          <w:lang w:val="en-AU"/>
        </w:rPr>
        <w:t>existing</w:t>
      </w:r>
      <w:r w:rsidR="006901EC" w:rsidRPr="00E3754A">
        <w:rPr>
          <w:iCs/>
          <w:lang w:val="en-AU"/>
        </w:rPr>
        <w:t xml:space="preserve"> legislation</w:t>
      </w:r>
      <w:r w:rsidR="00386F94" w:rsidRPr="00E3754A">
        <w:rPr>
          <w:iCs/>
          <w:lang w:val="en-AU"/>
        </w:rPr>
        <w:t xml:space="preserve"> (and policy and practice)</w:t>
      </w:r>
      <w:r w:rsidR="006901EC" w:rsidRPr="00E3754A">
        <w:rPr>
          <w:iCs/>
          <w:lang w:val="en-AU"/>
        </w:rPr>
        <w:t xml:space="preserve"> that, in many cases, </w:t>
      </w:r>
      <w:r w:rsidR="00386F94" w:rsidRPr="00E3754A">
        <w:rPr>
          <w:iCs/>
          <w:lang w:val="en-AU"/>
        </w:rPr>
        <w:t>will need wide-scale revision</w:t>
      </w:r>
      <w:r w:rsidR="0099534F" w:rsidRPr="00E3754A">
        <w:rPr>
          <w:iCs/>
          <w:lang w:val="en-AU"/>
        </w:rPr>
        <w:t xml:space="preserve"> to align with the Convention</w:t>
      </w:r>
      <w:r w:rsidR="009804E9" w:rsidRPr="00E3754A">
        <w:rPr>
          <w:iCs/>
          <w:lang w:val="en-AU"/>
        </w:rPr>
        <w:t xml:space="preserve">. </w:t>
      </w:r>
      <w:r w:rsidR="006901EC" w:rsidRPr="00E3754A">
        <w:rPr>
          <w:iCs/>
          <w:lang w:val="en-AU"/>
        </w:rPr>
        <w:t xml:space="preserve">Many member states appear to be taking an iterative process, allowing for a full consideration of the need for, and implications of, legislative reform </w:t>
      </w:r>
      <w:r w:rsidR="00386F94" w:rsidRPr="00E3754A">
        <w:rPr>
          <w:iCs/>
          <w:lang w:val="en-AU"/>
        </w:rPr>
        <w:t>alongside</w:t>
      </w:r>
      <w:r w:rsidRPr="00E3754A">
        <w:rPr>
          <w:iCs/>
          <w:lang w:val="en-AU"/>
        </w:rPr>
        <w:t xml:space="preserve"> operational considerations</w:t>
      </w:r>
      <w:r w:rsidR="006901EC" w:rsidRPr="00E3754A">
        <w:rPr>
          <w:iCs/>
          <w:lang w:val="en-AU"/>
        </w:rPr>
        <w:t xml:space="preserve">. This literature review has attempted to capture the emerging thinking and action in order to assist New Zealand </w:t>
      </w:r>
      <w:r w:rsidR="006D545F" w:rsidRPr="00E3754A">
        <w:rPr>
          <w:iCs/>
          <w:lang w:val="en-AU"/>
        </w:rPr>
        <w:t>in considering</w:t>
      </w:r>
      <w:r w:rsidR="006901EC" w:rsidRPr="00E3754A">
        <w:rPr>
          <w:iCs/>
          <w:lang w:val="en-AU"/>
        </w:rPr>
        <w:t xml:space="preserve"> how it might think and act with regard to the implementation of Article 12. </w:t>
      </w:r>
    </w:p>
    <w:p w14:paraId="09BB788C" w14:textId="77777777" w:rsidR="00D132D7" w:rsidRPr="00E3754A" w:rsidRDefault="00D132D7">
      <w:pPr>
        <w:spacing w:line="240" w:lineRule="auto"/>
        <w:jc w:val="left"/>
        <w:rPr>
          <w:iCs/>
          <w:lang w:val="en-AU"/>
        </w:rPr>
      </w:pPr>
      <w:r w:rsidRPr="00E3754A">
        <w:rPr>
          <w:iCs/>
          <w:lang w:val="en-AU"/>
        </w:rPr>
        <w:br w:type="page"/>
      </w:r>
    </w:p>
    <w:tbl>
      <w:tblPr>
        <w:tblStyle w:val="Style5"/>
        <w:tblW w:w="5000" w:type="pct"/>
        <w:tblLook w:val="04A0" w:firstRow="1" w:lastRow="0" w:firstColumn="1" w:lastColumn="0" w:noHBand="0" w:noVBand="1"/>
      </w:tblPr>
      <w:tblGrid>
        <w:gridCol w:w="9236"/>
      </w:tblGrid>
      <w:tr w:rsidR="00E122FD" w:rsidRPr="00E3754A" w14:paraId="7D37700B" w14:textId="77777777" w:rsidTr="008F2279">
        <w:tc>
          <w:tcPr>
            <w:tcW w:w="5000" w:type="pct"/>
          </w:tcPr>
          <w:p w14:paraId="090418C8" w14:textId="4A39869A" w:rsidR="00E122FD" w:rsidRPr="00E3754A" w:rsidRDefault="00E122FD" w:rsidP="000400BE">
            <w:pPr>
              <w:pStyle w:val="Heading1"/>
              <w:rPr>
                <w:lang w:val="en-AU"/>
              </w:rPr>
            </w:pPr>
            <w:bookmarkStart w:id="30" w:name="_Toc337970278"/>
            <w:bookmarkStart w:id="31" w:name="_Toc339036844"/>
            <w:r w:rsidRPr="00E3754A">
              <w:rPr>
                <w:lang w:val="en-AU"/>
              </w:rPr>
              <w:t>Who does Article 12 relate to?</w:t>
            </w:r>
            <w:bookmarkEnd w:id="30"/>
            <w:bookmarkEnd w:id="31"/>
          </w:p>
        </w:tc>
      </w:tr>
    </w:tbl>
    <w:p w14:paraId="6CFC69C5" w14:textId="40EEE68A" w:rsidR="00607929" w:rsidRPr="00E3754A" w:rsidRDefault="00824518" w:rsidP="00607929">
      <w:pPr>
        <w:pStyle w:val="NoSpacing"/>
        <w:rPr>
          <w:lang w:val="en-AU"/>
        </w:rPr>
      </w:pPr>
      <w:r w:rsidRPr="00E3754A">
        <w:rPr>
          <w:lang w:val="en-AU"/>
        </w:rPr>
        <w:t xml:space="preserve">This section provides information </w:t>
      </w:r>
      <w:r w:rsidR="00805417" w:rsidRPr="00E3754A">
        <w:rPr>
          <w:lang w:val="en-AU"/>
        </w:rPr>
        <w:t>to address</w:t>
      </w:r>
      <w:r w:rsidRPr="00E3754A">
        <w:rPr>
          <w:lang w:val="en-AU"/>
        </w:rPr>
        <w:t xml:space="preserve"> the question: “What does the population of affected disabled people look like (for example, number of people, proportion of the population, other relevant demographic information)?</w:t>
      </w:r>
      <w:r w:rsidR="006D545F" w:rsidRPr="00E3754A">
        <w:rPr>
          <w:lang w:val="en-AU"/>
        </w:rPr>
        <w:t>” (Q</w:t>
      </w:r>
      <w:r w:rsidRPr="00E3754A">
        <w:rPr>
          <w:lang w:val="en-AU"/>
        </w:rPr>
        <w:t xml:space="preserve">uestion 2, Appendix A). </w:t>
      </w:r>
      <w:r w:rsidR="00607929" w:rsidRPr="00E3754A">
        <w:rPr>
          <w:lang w:val="en-AU"/>
        </w:rPr>
        <w:t xml:space="preserve">The Convention </w:t>
      </w:r>
      <w:r w:rsidR="00F9368A" w:rsidRPr="00E3754A">
        <w:rPr>
          <w:lang w:val="en-AU"/>
        </w:rPr>
        <w:t>is inclusive of all disabled people</w:t>
      </w:r>
      <w:r w:rsidR="00607929" w:rsidRPr="00E3754A">
        <w:rPr>
          <w:lang w:val="en-AU"/>
        </w:rPr>
        <w:t>. It employs a partial definition of ‘persons with disabilities’ so to not inadvertently exclude groups and</w:t>
      </w:r>
      <w:r w:rsidR="00FD37B8" w:rsidRPr="00E3754A">
        <w:rPr>
          <w:lang w:val="en-AU"/>
        </w:rPr>
        <w:t xml:space="preserve"> so to</w:t>
      </w:r>
      <w:r w:rsidR="00607929" w:rsidRPr="00E3754A">
        <w:rPr>
          <w:lang w:val="en-AU"/>
        </w:rPr>
        <w:t xml:space="preserve"> specifically include persons with mental disabilities and cognitive impairment (Bartlett, 2012). The definition refers to ‘persons with disabilities’ as (Article 1): </w:t>
      </w:r>
    </w:p>
    <w:p w14:paraId="2A728C21" w14:textId="77777777" w:rsidR="00607929" w:rsidRPr="00E3754A" w:rsidRDefault="00607929" w:rsidP="00B65E4B">
      <w:pPr>
        <w:pStyle w:val="Quote"/>
        <w:rPr>
          <w:lang w:val="en-AU"/>
        </w:rPr>
      </w:pPr>
      <w:r w:rsidRPr="00E3754A">
        <w:rPr>
          <w:lang w:val="en-AU"/>
        </w:rPr>
        <w:t>“… those who have long-term physical, mental, intellectual or sensory impairments which in interaction with various barriers may hinder their full and effective participation in society on an equal basis with others.”</w:t>
      </w:r>
    </w:p>
    <w:p w14:paraId="07768537" w14:textId="4EEEF716" w:rsidR="00607929" w:rsidRPr="00E3754A" w:rsidRDefault="00F9368A" w:rsidP="00607929">
      <w:pPr>
        <w:pStyle w:val="NoSpacing"/>
        <w:rPr>
          <w:lang w:val="en-AU"/>
        </w:rPr>
      </w:pPr>
      <w:r w:rsidRPr="00E3754A">
        <w:rPr>
          <w:lang w:val="en-AU"/>
        </w:rPr>
        <w:t xml:space="preserve">In the New Zealand </w:t>
      </w:r>
      <w:r w:rsidR="006D545F" w:rsidRPr="00E3754A">
        <w:rPr>
          <w:lang w:val="en-AU"/>
        </w:rPr>
        <w:t>context</w:t>
      </w:r>
      <w:r w:rsidRPr="00E3754A">
        <w:rPr>
          <w:lang w:val="en-AU"/>
        </w:rPr>
        <w:t>, t</w:t>
      </w:r>
      <w:r w:rsidR="00607929" w:rsidRPr="00E3754A">
        <w:rPr>
          <w:lang w:val="en-AU"/>
        </w:rPr>
        <w:t xml:space="preserve">he Human Rights Commission defines disability </w:t>
      </w:r>
      <w:r w:rsidR="00B7502A" w:rsidRPr="00E3754A">
        <w:rPr>
          <w:lang w:val="en-AU"/>
        </w:rPr>
        <w:t>as</w:t>
      </w:r>
      <w:r w:rsidR="00607929" w:rsidRPr="00E3754A">
        <w:rPr>
          <w:lang w:val="en-AU"/>
        </w:rPr>
        <w:t xml:space="preserve"> any long-term limitation in a person’s ability to carry out daily activities, with its governing legislation (Human Rights Act 1993) specifying a wide range of physical, cognitive and psychological bases for disability. In keeping with this approach, Statistics New Zealand uses a similarly broad conceptualisation of disability that broadly permits self-identification as a person with (or without) a disability for census and other survey purposes</w:t>
      </w:r>
      <w:r w:rsidR="009804E9" w:rsidRPr="00E3754A">
        <w:rPr>
          <w:lang w:val="en-AU"/>
        </w:rPr>
        <w:t xml:space="preserve">. </w:t>
      </w:r>
      <w:r w:rsidR="00607929" w:rsidRPr="00E3754A">
        <w:rPr>
          <w:lang w:val="en-AU"/>
        </w:rPr>
        <w:t>In the New Zealand context, the term ‘disability’ refers to “long-term limitation (resulting from impairment) in a person’s ability to carry out daily activities” (Statistics NZ, 2014).</w:t>
      </w:r>
    </w:p>
    <w:p w14:paraId="68E13D6F" w14:textId="4ADF3AAC" w:rsidR="00607929" w:rsidRPr="00E3754A" w:rsidRDefault="00607929" w:rsidP="00607929">
      <w:pPr>
        <w:pStyle w:val="NoSpacing"/>
        <w:rPr>
          <w:lang w:val="en-AU"/>
        </w:rPr>
      </w:pPr>
      <w:r w:rsidRPr="00E3754A">
        <w:rPr>
          <w:lang w:val="en-AU"/>
        </w:rPr>
        <w:t xml:space="preserve">Aligning the classifications of the Household Disability Survey (HDS) </w:t>
      </w:r>
      <w:r w:rsidR="00386F94" w:rsidRPr="00E3754A">
        <w:rPr>
          <w:lang w:val="en-AU"/>
        </w:rPr>
        <w:t>(</w:t>
      </w:r>
      <w:r w:rsidR="0070426B" w:rsidRPr="00E3754A">
        <w:rPr>
          <w:lang w:val="en-AU"/>
        </w:rPr>
        <w:t>MacPherson, 2014</w:t>
      </w:r>
      <w:r w:rsidR="00386F94" w:rsidRPr="00E3754A">
        <w:rPr>
          <w:lang w:val="en-AU"/>
        </w:rPr>
        <w:t xml:space="preserve">) </w:t>
      </w:r>
      <w:r w:rsidRPr="00E3754A">
        <w:rPr>
          <w:lang w:val="en-AU"/>
        </w:rPr>
        <w:t xml:space="preserve">with those in the capacity and </w:t>
      </w:r>
      <w:r w:rsidR="00386F94" w:rsidRPr="00E3754A">
        <w:rPr>
          <w:lang w:val="en-AU"/>
        </w:rPr>
        <w:t xml:space="preserve">Convention </w:t>
      </w:r>
      <w:r w:rsidRPr="00E3754A">
        <w:rPr>
          <w:lang w:val="en-AU"/>
        </w:rPr>
        <w:t xml:space="preserve">literature is difficult. Persons with disabilities comprise a significant proportion of New Zealand’s population. Also in New Zealand, the HDS identifies five key areas of disability: sensory, physical (including motor and agility), intellectual, psychological/psychiatric, and ‘other.’ According to Statistics NZ, 64% of adults with disabilities identified themselves as having a physical disability (representing 18% of the total adult population over 15); whilst 59% of children with disabilities were identified as having a learning disability (6% of the total child population of New Zealand). The most common cause of adult disability was disease, illness or injury, with ageing a prominent factor, whilst childhood disability most commonly related to conditions present from birth. Additionally, the statistics and literature also recognise that disabled </w:t>
      </w:r>
      <w:r w:rsidR="00CE6F62">
        <w:rPr>
          <w:lang w:val="en-AU"/>
        </w:rPr>
        <w:t>people</w:t>
      </w:r>
      <w:r w:rsidR="00CE6F62" w:rsidRPr="00E3754A">
        <w:rPr>
          <w:lang w:val="en-AU"/>
        </w:rPr>
        <w:t xml:space="preserve"> </w:t>
      </w:r>
      <w:r w:rsidRPr="00E3754A">
        <w:rPr>
          <w:lang w:val="en-AU"/>
        </w:rPr>
        <w:t>often have more than one dis</w:t>
      </w:r>
      <w:r w:rsidR="00FF03D1" w:rsidRPr="00E3754A">
        <w:rPr>
          <w:lang w:val="en-AU"/>
        </w:rPr>
        <w:t>a</w:t>
      </w:r>
      <w:r w:rsidRPr="00E3754A">
        <w:rPr>
          <w:lang w:val="en-AU"/>
        </w:rPr>
        <w:t xml:space="preserve">bility (Statistics NZ, 2014, Werner, 2013). According to the National Disability Survey 2013, 24% of New Zealanders identify as having a disability, with a pronounced skew towards older adults (aged 65+), and Māori and Pacific peoples (Statistics NZ, 2014). </w:t>
      </w:r>
    </w:p>
    <w:p w14:paraId="23FEBCD8" w14:textId="37A478C1" w:rsidR="00607929" w:rsidRPr="00E3754A" w:rsidRDefault="00607929" w:rsidP="00607929">
      <w:pPr>
        <w:pStyle w:val="NoSpacing"/>
        <w:rPr>
          <w:lang w:val="en-AU"/>
        </w:rPr>
      </w:pPr>
      <w:r w:rsidRPr="00E3754A">
        <w:rPr>
          <w:lang w:val="en-AU"/>
        </w:rPr>
        <w:t xml:space="preserve">With reference to Article 12 and supported decision-making </w:t>
      </w:r>
      <w:r w:rsidR="00386F94" w:rsidRPr="00E3754A">
        <w:rPr>
          <w:lang w:val="en-AU"/>
        </w:rPr>
        <w:t>however</w:t>
      </w:r>
      <w:r w:rsidRPr="00E3754A">
        <w:rPr>
          <w:lang w:val="en-AU"/>
        </w:rPr>
        <w:t>, the emerging literature focuses on four key groups of disabled people (</w:t>
      </w:r>
      <w:r w:rsidR="000A5D75" w:rsidRPr="00E3754A">
        <w:rPr>
          <w:lang w:val="en-AU"/>
        </w:rPr>
        <w:t>Carney, 2015a</w:t>
      </w:r>
      <w:r w:rsidRPr="00E3754A">
        <w:rPr>
          <w:lang w:val="en-AU"/>
        </w:rPr>
        <w:t xml:space="preserve">). These include: </w:t>
      </w:r>
      <w:r w:rsidR="00CE6F62">
        <w:rPr>
          <w:lang w:val="en-AU"/>
        </w:rPr>
        <w:t>people</w:t>
      </w:r>
      <w:r w:rsidR="00CE6F62" w:rsidRPr="00E3754A">
        <w:rPr>
          <w:lang w:val="en-AU"/>
        </w:rPr>
        <w:t xml:space="preserve"> </w:t>
      </w:r>
      <w:r w:rsidRPr="00E3754A">
        <w:rPr>
          <w:lang w:val="en-AU"/>
        </w:rPr>
        <w:t xml:space="preserve">with developmental and learning disabilities; </w:t>
      </w:r>
      <w:r w:rsidR="00CE6F62">
        <w:rPr>
          <w:lang w:val="en-AU"/>
        </w:rPr>
        <w:t>people</w:t>
      </w:r>
      <w:r w:rsidR="00CE6F62" w:rsidRPr="00E3754A">
        <w:rPr>
          <w:lang w:val="en-AU"/>
        </w:rPr>
        <w:t xml:space="preserve"> </w:t>
      </w:r>
      <w:r w:rsidRPr="00E3754A">
        <w:rPr>
          <w:lang w:val="en-AU"/>
        </w:rPr>
        <w:t xml:space="preserve">with dementia; </w:t>
      </w:r>
      <w:r w:rsidR="00CE6F62">
        <w:rPr>
          <w:lang w:val="en-AU"/>
        </w:rPr>
        <w:t>people</w:t>
      </w:r>
      <w:r w:rsidR="00CE6F62" w:rsidRPr="00E3754A">
        <w:rPr>
          <w:lang w:val="en-AU"/>
        </w:rPr>
        <w:t xml:space="preserve"> </w:t>
      </w:r>
      <w:r w:rsidRPr="00E3754A">
        <w:rPr>
          <w:lang w:val="en-AU"/>
        </w:rPr>
        <w:t>with acquired brain injuries (such as traumatic brain injuries</w:t>
      </w:r>
      <w:r w:rsidR="0070426B" w:rsidRPr="00E3754A">
        <w:rPr>
          <w:lang w:val="en-AU"/>
        </w:rPr>
        <w:t>)</w:t>
      </w:r>
      <w:r w:rsidRPr="00E3754A">
        <w:rPr>
          <w:lang w:val="en-AU"/>
        </w:rPr>
        <w:t xml:space="preserve">; and </w:t>
      </w:r>
      <w:r w:rsidR="00CE6F62">
        <w:rPr>
          <w:lang w:val="en-AU"/>
        </w:rPr>
        <w:t>people</w:t>
      </w:r>
      <w:r w:rsidR="00CE6F62" w:rsidRPr="00E3754A">
        <w:rPr>
          <w:lang w:val="en-AU"/>
        </w:rPr>
        <w:t xml:space="preserve"> </w:t>
      </w:r>
      <w:r w:rsidR="002C6CA2">
        <w:rPr>
          <w:lang w:val="en-AU"/>
        </w:rPr>
        <w:t>who experience</w:t>
      </w:r>
      <w:r w:rsidR="002C6CA2" w:rsidRPr="00E3754A">
        <w:rPr>
          <w:lang w:val="en-AU"/>
        </w:rPr>
        <w:t xml:space="preserve"> </w:t>
      </w:r>
      <w:r w:rsidRPr="00E3754A">
        <w:rPr>
          <w:lang w:val="en-AU"/>
        </w:rPr>
        <w:t xml:space="preserve">mental </w:t>
      </w:r>
      <w:r w:rsidR="002C6CA2">
        <w:rPr>
          <w:lang w:val="en-AU"/>
        </w:rPr>
        <w:t>distress</w:t>
      </w:r>
      <w:r w:rsidRPr="00E3754A">
        <w:rPr>
          <w:lang w:val="en-AU"/>
        </w:rPr>
        <w:t xml:space="preserve">. These groups have been identified as significant in the context of the Convention and Article 12 because they are most </w:t>
      </w:r>
      <w:r w:rsidR="00386F94" w:rsidRPr="00E3754A">
        <w:rPr>
          <w:lang w:val="en-AU"/>
        </w:rPr>
        <w:t>a</w:t>
      </w:r>
      <w:r w:rsidRPr="00E3754A">
        <w:rPr>
          <w:lang w:val="en-AU"/>
        </w:rPr>
        <w:t xml:space="preserve">ffected by the obligations set out due to the fact that they are citizens who often confront barriers to exercising legal capacity and other rights. The Convention recognises that the extent to which legal capacity may be exercised is frequently limited on the grounds of disability, both directly and indirectly (Bartlett, 2012; Flynn and Arstein-Kerslake, 2014; Keeling, 2016; Kohn &amp; Blumental, 2014). </w:t>
      </w:r>
      <w:r w:rsidR="00281B02">
        <w:rPr>
          <w:lang w:val="en-AU"/>
        </w:rPr>
        <w:t>As a result,</w:t>
      </w:r>
      <w:r w:rsidR="00281B02" w:rsidRPr="00E3754A">
        <w:rPr>
          <w:lang w:val="en-AU"/>
        </w:rPr>
        <w:t xml:space="preserve"> </w:t>
      </w:r>
      <w:r w:rsidRPr="00E3754A">
        <w:rPr>
          <w:lang w:val="en-AU"/>
        </w:rPr>
        <w:t xml:space="preserve">literature </w:t>
      </w:r>
      <w:r w:rsidR="006D545F" w:rsidRPr="00E3754A">
        <w:rPr>
          <w:lang w:val="en-AU"/>
        </w:rPr>
        <w:t>is often</w:t>
      </w:r>
      <w:r w:rsidRPr="00E3754A">
        <w:rPr>
          <w:lang w:val="en-AU"/>
        </w:rPr>
        <w:t xml:space="preserve"> concerned with Article 12 and supported decision-making in the context of groups </w:t>
      </w:r>
      <w:r w:rsidR="00386F94" w:rsidRPr="00E3754A">
        <w:rPr>
          <w:lang w:val="en-AU"/>
        </w:rPr>
        <w:t xml:space="preserve">most significantly </w:t>
      </w:r>
      <w:r w:rsidRPr="00E3754A">
        <w:rPr>
          <w:lang w:val="en-AU"/>
        </w:rPr>
        <w:t xml:space="preserve">affected by the use of evidence of cognitive ability. </w:t>
      </w:r>
    </w:p>
    <w:p w14:paraId="4E0A0987" w14:textId="02589465" w:rsidR="00D132D7" w:rsidRPr="00E3754A" w:rsidRDefault="00386F94" w:rsidP="00FD3730">
      <w:pPr>
        <w:pStyle w:val="NoSpacing"/>
        <w:rPr>
          <w:iCs/>
          <w:lang w:val="en-AU"/>
        </w:rPr>
      </w:pPr>
      <w:r w:rsidRPr="00E3754A">
        <w:rPr>
          <w:lang w:val="en-AU"/>
        </w:rPr>
        <w:t>A</w:t>
      </w:r>
      <w:r w:rsidR="00607929" w:rsidRPr="00E3754A">
        <w:rPr>
          <w:lang w:val="en-AU"/>
        </w:rPr>
        <w:t xml:space="preserve">ttempts to identify what percentage or proportion of the total number of </w:t>
      </w:r>
      <w:r w:rsidR="00984670" w:rsidRPr="00E3754A">
        <w:rPr>
          <w:lang w:val="en-AU"/>
        </w:rPr>
        <w:t xml:space="preserve">disabled </w:t>
      </w:r>
      <w:r w:rsidR="009A0E66" w:rsidRPr="00E3754A">
        <w:rPr>
          <w:lang w:val="en-AU"/>
        </w:rPr>
        <w:t xml:space="preserve">people who </w:t>
      </w:r>
      <w:r w:rsidR="00984670" w:rsidRPr="00E3754A">
        <w:rPr>
          <w:lang w:val="en-AU"/>
        </w:rPr>
        <w:t>could be</w:t>
      </w:r>
      <w:r w:rsidR="00607929" w:rsidRPr="00E3754A">
        <w:rPr>
          <w:lang w:val="en-AU"/>
        </w:rPr>
        <w:t xml:space="preserve"> affected by the provisions of the Convention may not be necessary</w:t>
      </w:r>
      <w:r w:rsidR="009804E9" w:rsidRPr="00E3754A">
        <w:rPr>
          <w:lang w:val="en-AU"/>
        </w:rPr>
        <w:t xml:space="preserve">. </w:t>
      </w:r>
      <w:r w:rsidR="00607929" w:rsidRPr="00E3754A">
        <w:rPr>
          <w:lang w:val="en-AU"/>
        </w:rPr>
        <w:t xml:space="preserve">Given that the intention of the Convention is to achieve change for </w:t>
      </w:r>
      <w:r w:rsidR="00607929" w:rsidRPr="00E3754A">
        <w:rPr>
          <w:i/>
          <w:lang w:val="en-AU"/>
        </w:rPr>
        <w:t xml:space="preserve">all </w:t>
      </w:r>
      <w:r w:rsidR="009A0E66" w:rsidRPr="00E3754A">
        <w:rPr>
          <w:lang w:val="en-AU"/>
        </w:rPr>
        <w:t>disabled people</w:t>
      </w:r>
      <w:r w:rsidR="00607929" w:rsidRPr="00E3754A">
        <w:rPr>
          <w:lang w:val="en-AU"/>
        </w:rPr>
        <w:t xml:space="preserve">; potential benefits are to be felt in the structural reconceptualisation of legal personhood and the eradication of </w:t>
      </w:r>
      <w:r w:rsidR="007101D6" w:rsidRPr="00E3754A">
        <w:rPr>
          <w:lang w:val="en-AU"/>
        </w:rPr>
        <w:t xml:space="preserve">unequal </w:t>
      </w:r>
      <w:r w:rsidR="00607929" w:rsidRPr="00E3754A">
        <w:rPr>
          <w:lang w:val="en-AU"/>
        </w:rPr>
        <w:t xml:space="preserve">treatment for </w:t>
      </w:r>
      <w:r w:rsidR="009A0E66" w:rsidRPr="00E3754A">
        <w:rPr>
          <w:lang w:val="en-AU"/>
        </w:rPr>
        <w:t>disabled people generally</w:t>
      </w:r>
      <w:r w:rsidR="009804E9" w:rsidRPr="00E3754A">
        <w:rPr>
          <w:lang w:val="en-AU"/>
        </w:rPr>
        <w:t xml:space="preserve">. </w:t>
      </w:r>
      <w:r w:rsidR="00607929" w:rsidRPr="00E3754A">
        <w:rPr>
          <w:lang w:val="en-AU"/>
        </w:rPr>
        <w:t>Further, it seems clear that the Convention recognises that the extent to which legal capacity may be exercised is frequently limited on the grounds of disability alone (Flynn and Arstein-Kerslake, 2014; Keeling, 2016)</w:t>
      </w:r>
      <w:r w:rsidR="009804E9" w:rsidRPr="00E3754A">
        <w:rPr>
          <w:lang w:val="en-AU"/>
        </w:rPr>
        <w:t xml:space="preserve">. </w:t>
      </w:r>
      <w:r w:rsidR="00607929" w:rsidRPr="00E3754A">
        <w:rPr>
          <w:lang w:val="en-AU"/>
        </w:rPr>
        <w:t xml:space="preserve">In this regard, then, any explicit legislative requirement that disability </w:t>
      </w:r>
      <w:r w:rsidR="00607929" w:rsidRPr="00E3754A">
        <w:rPr>
          <w:i/>
          <w:lang w:val="en-AU"/>
        </w:rPr>
        <w:t xml:space="preserve">cannot </w:t>
      </w:r>
      <w:r w:rsidR="00607929" w:rsidRPr="00E3754A">
        <w:rPr>
          <w:lang w:val="en-AU"/>
        </w:rPr>
        <w:t xml:space="preserve">compromise legal capacity, and </w:t>
      </w:r>
      <w:r w:rsidR="00607929" w:rsidRPr="00E3754A">
        <w:rPr>
          <w:i/>
          <w:lang w:val="en-AU"/>
        </w:rPr>
        <w:t>must not</w:t>
      </w:r>
      <w:r w:rsidR="00607929" w:rsidRPr="00E3754A">
        <w:rPr>
          <w:lang w:val="en-AU"/>
        </w:rPr>
        <w:t xml:space="preserve"> be used as grounds to limit the exercise of that legal capacity, has the potential to directly and indirectly benefit all </w:t>
      </w:r>
      <w:r w:rsidR="00F41A27" w:rsidRPr="00E3754A">
        <w:rPr>
          <w:lang w:val="en-AU"/>
        </w:rPr>
        <w:t>disabled people</w:t>
      </w:r>
      <w:r w:rsidR="00607929" w:rsidRPr="00E3754A">
        <w:rPr>
          <w:lang w:val="en-AU"/>
        </w:rPr>
        <w:t>.</w:t>
      </w:r>
      <w:r w:rsidR="00FD3730" w:rsidRPr="00E3754A">
        <w:rPr>
          <w:iCs/>
          <w:lang w:val="en-AU"/>
        </w:rPr>
        <w:t xml:space="preserve"> </w:t>
      </w:r>
    </w:p>
    <w:p w14:paraId="7C909539" w14:textId="77777777" w:rsidR="00D132D7" w:rsidRPr="00E3754A" w:rsidRDefault="00D132D7">
      <w:pPr>
        <w:spacing w:line="240" w:lineRule="auto"/>
        <w:jc w:val="left"/>
        <w:rPr>
          <w:iCs/>
          <w:lang w:val="en-AU"/>
        </w:rPr>
      </w:pPr>
      <w:r w:rsidRPr="00E3754A">
        <w:rPr>
          <w:iCs/>
          <w:lang w:val="en-AU"/>
        </w:rPr>
        <w:br w:type="page"/>
      </w:r>
    </w:p>
    <w:tbl>
      <w:tblPr>
        <w:tblStyle w:val="Style5"/>
        <w:tblW w:w="5000" w:type="pct"/>
        <w:tblLook w:val="04A0" w:firstRow="1" w:lastRow="0" w:firstColumn="1" w:lastColumn="0" w:noHBand="0" w:noVBand="1"/>
      </w:tblPr>
      <w:tblGrid>
        <w:gridCol w:w="9236"/>
      </w:tblGrid>
      <w:tr w:rsidR="00FD3730" w:rsidRPr="00E3754A" w14:paraId="437A92BE" w14:textId="77777777" w:rsidTr="007D0864">
        <w:tc>
          <w:tcPr>
            <w:tcW w:w="5000" w:type="pct"/>
          </w:tcPr>
          <w:p w14:paraId="721C51C9" w14:textId="19180919" w:rsidR="00FD3730" w:rsidRPr="00E3754A" w:rsidRDefault="00CE2A10" w:rsidP="007D0864">
            <w:pPr>
              <w:pStyle w:val="Heading1"/>
              <w:rPr>
                <w:lang w:val="en-AU"/>
              </w:rPr>
            </w:pPr>
            <w:bookmarkStart w:id="32" w:name="_Toc337970279"/>
            <w:bookmarkStart w:id="33" w:name="_Toc339036845"/>
            <w:r w:rsidRPr="00E3754A">
              <w:rPr>
                <w:lang w:val="en-AU"/>
              </w:rPr>
              <w:t xml:space="preserve">A paradigm shift in the conceptualisation of legal </w:t>
            </w:r>
            <w:r w:rsidR="00386F94" w:rsidRPr="00E3754A">
              <w:rPr>
                <w:lang w:val="en-AU"/>
              </w:rPr>
              <w:t>and</w:t>
            </w:r>
            <w:r w:rsidRPr="00E3754A">
              <w:rPr>
                <w:lang w:val="en-AU"/>
              </w:rPr>
              <w:t xml:space="preserve"> mental capacity</w:t>
            </w:r>
            <w:bookmarkEnd w:id="32"/>
            <w:bookmarkEnd w:id="33"/>
          </w:p>
        </w:tc>
      </w:tr>
    </w:tbl>
    <w:p w14:paraId="4C416689" w14:textId="0E179CF7" w:rsidR="00CE2A10" w:rsidRPr="00E3754A" w:rsidRDefault="00CE2A10" w:rsidP="00CE2A10">
      <w:pPr>
        <w:pStyle w:val="NoSpacing"/>
        <w:rPr>
          <w:iCs/>
          <w:lang w:val="en-AU"/>
        </w:rPr>
      </w:pPr>
      <w:r w:rsidRPr="00E3754A">
        <w:rPr>
          <w:iCs/>
          <w:lang w:val="en-AU"/>
        </w:rPr>
        <w:t xml:space="preserve">The provisions of the Convention signal a substantive change in the ways in which </w:t>
      </w:r>
      <w:r w:rsidR="00BF57E2" w:rsidRPr="00E3754A">
        <w:rPr>
          <w:iCs/>
          <w:lang w:val="en-AU"/>
        </w:rPr>
        <w:t>disabled people</w:t>
      </w:r>
      <w:r w:rsidRPr="00E3754A">
        <w:rPr>
          <w:iCs/>
          <w:lang w:val="en-AU"/>
        </w:rPr>
        <w:t xml:space="preserve"> are considered in terms of their ability to exercise legal capacity. At the heart of Article 12 is a clarification, and rearticulation, of the definition of capacity.</w:t>
      </w:r>
      <w:r w:rsidR="002231F8" w:rsidRPr="00E3754A">
        <w:rPr>
          <w:rStyle w:val="FootnoteReference"/>
          <w:iCs/>
          <w:lang w:val="en-AU"/>
        </w:rPr>
        <w:footnoteReference w:id="3"/>
      </w:r>
      <w:r w:rsidRPr="00E3754A">
        <w:rPr>
          <w:iCs/>
          <w:lang w:val="en-AU"/>
        </w:rPr>
        <w:t xml:space="preserve"> </w:t>
      </w:r>
    </w:p>
    <w:p w14:paraId="04076652" w14:textId="351AC70F" w:rsidR="00CE2A10" w:rsidRPr="00225FF4" w:rsidRDefault="00CE2A10" w:rsidP="00CE2A10">
      <w:pPr>
        <w:pStyle w:val="NoSpacing"/>
        <w:rPr>
          <w:lang w:val="en-US"/>
        </w:rPr>
      </w:pPr>
      <w:r w:rsidRPr="00E3754A">
        <w:rPr>
          <w:lang w:val="en-AU"/>
        </w:rPr>
        <w:t>The Convention and General Comment challenge traditional notions of legal capacity and mental capacity and propose a new way of conceptualising the relationship between them</w:t>
      </w:r>
      <w:r w:rsidR="00176BE0" w:rsidRPr="00E3754A">
        <w:rPr>
          <w:lang w:val="en-AU"/>
        </w:rPr>
        <w:t xml:space="preserve"> and</w:t>
      </w:r>
      <w:r w:rsidR="00386F94" w:rsidRPr="00E3754A">
        <w:rPr>
          <w:lang w:val="en-AU"/>
        </w:rPr>
        <w:t xml:space="preserve"> therefore</w:t>
      </w:r>
      <w:r w:rsidRPr="00E3754A">
        <w:rPr>
          <w:lang w:val="en-AU"/>
        </w:rPr>
        <w:t xml:space="preserve"> some definitional context is required to introduce and contextualise this alternative approach. </w:t>
      </w:r>
      <w:r w:rsidRPr="00E3754A">
        <w:rPr>
          <w:i/>
          <w:lang w:val="en-AU"/>
        </w:rPr>
        <w:t>Legal capacity</w:t>
      </w:r>
      <w:r w:rsidRPr="00E3754A">
        <w:rPr>
          <w:lang w:val="en-AU"/>
        </w:rPr>
        <w:t xml:space="preserve"> is concerned with legal recognition and the granting of legal personhood (Arstein-Kerslake &amp; Flynn, 2015; Browning et al., 2014</w:t>
      </w:r>
      <w:r w:rsidR="00AA0417" w:rsidRPr="00E3754A">
        <w:rPr>
          <w:szCs w:val="20"/>
          <w:lang w:val="en-AU"/>
        </w:rPr>
        <w:t>; Flynn &amp; Arstein-Kerslake, 2014</w:t>
      </w:r>
      <w:r w:rsidRPr="00E3754A">
        <w:rPr>
          <w:lang w:val="en-AU"/>
        </w:rPr>
        <w:t>)</w:t>
      </w:r>
      <w:r w:rsidR="00D20A79">
        <w:rPr>
          <w:lang w:val="en-AU"/>
        </w:rPr>
        <w:t>. As is explained by Douglass (2016),</w:t>
      </w:r>
      <w:r w:rsidR="001C6138">
        <w:rPr>
          <w:rStyle w:val="FootnoteReference"/>
          <w:lang w:val="en-AU"/>
        </w:rPr>
        <w:footnoteReference w:id="4"/>
      </w:r>
      <w:r w:rsidR="00D20A79">
        <w:rPr>
          <w:lang w:val="en-AU"/>
        </w:rPr>
        <w:t xml:space="preserve"> Minkowitz (2013) </w:t>
      </w:r>
      <w:r w:rsidR="00281B02">
        <w:rPr>
          <w:lang w:val="en-AU"/>
        </w:rPr>
        <w:t xml:space="preserve">and </w:t>
      </w:r>
      <w:r w:rsidR="00D20A79">
        <w:rPr>
          <w:lang w:val="en-AU"/>
        </w:rPr>
        <w:t>Parker (2016), people are recognised to have legal capacity when their decisions</w:t>
      </w:r>
      <w:r w:rsidR="009F154A">
        <w:rPr>
          <w:lang w:val="en-AU"/>
        </w:rPr>
        <w:t xml:space="preserve"> </w:t>
      </w:r>
      <w:r w:rsidR="00D20A79">
        <w:rPr>
          <w:lang w:val="en-AU"/>
        </w:rPr>
        <w:t>are recognised as valid before the law.</w:t>
      </w:r>
      <w:r w:rsidR="009F154A">
        <w:rPr>
          <w:lang w:val="en-AU"/>
        </w:rPr>
        <w:t xml:space="preserve"> As is</w:t>
      </w:r>
      <w:r w:rsidR="007D7CE3">
        <w:rPr>
          <w:lang w:val="en-AU"/>
        </w:rPr>
        <w:t xml:space="preserve"> recognised</w:t>
      </w:r>
      <w:r w:rsidR="008D2C5D">
        <w:rPr>
          <w:lang w:val="en-AU"/>
        </w:rPr>
        <w:t xml:space="preserve"> in </w:t>
      </w:r>
      <w:r w:rsidR="007D7CE3">
        <w:rPr>
          <w:lang w:val="en-AU"/>
        </w:rPr>
        <w:t>the</w:t>
      </w:r>
      <w:r w:rsidR="008D2C5D">
        <w:rPr>
          <w:lang w:val="en-AU"/>
        </w:rPr>
        <w:t xml:space="preserve"> literature </w:t>
      </w:r>
      <w:r w:rsidR="007D7CE3">
        <w:rPr>
          <w:lang w:val="en-AU"/>
        </w:rPr>
        <w:t xml:space="preserve">on the Convention </w:t>
      </w:r>
      <w:r w:rsidR="008D2C5D">
        <w:rPr>
          <w:lang w:val="en-AU"/>
        </w:rPr>
        <w:t xml:space="preserve">(see </w:t>
      </w:r>
      <w:r w:rsidR="007D7CE3">
        <w:rPr>
          <w:lang w:val="en-AU"/>
        </w:rPr>
        <w:t xml:space="preserve">for example </w:t>
      </w:r>
      <w:r w:rsidR="008D2C5D">
        <w:rPr>
          <w:rFonts w:eastAsia="Times New Roman" w:cs="Times New Roman"/>
        </w:rPr>
        <w:t>Arstein-Kerslake &amp; Flynn, 2015;</w:t>
      </w:r>
      <w:r w:rsidR="007D7CE3">
        <w:rPr>
          <w:rFonts w:eastAsia="Times New Roman" w:cs="Times New Roman"/>
        </w:rPr>
        <w:t xml:space="preserve"> Martin et al, 2014; Parker, 2016; Richardson, 2012; Series, 2015</w:t>
      </w:r>
      <w:r w:rsidR="008D2C5D">
        <w:rPr>
          <w:lang w:val="en-AU"/>
        </w:rPr>
        <w:t>),</w:t>
      </w:r>
      <w:r w:rsidR="009F154A">
        <w:rPr>
          <w:lang w:val="en-AU"/>
        </w:rPr>
        <w:t xml:space="preserve"> it is crucial to distinguish between the two concepts of legal capacity and mental capacity in the context of the Convention because, as Parker explains, “</w:t>
      </w:r>
      <w:r w:rsidR="009F154A" w:rsidRPr="009F154A">
        <w:rPr>
          <w:lang w:val="en-US"/>
        </w:rPr>
        <w:t>You cannot have your decision- making capacity taken away, but you can have your capacity to make decision</w:t>
      </w:r>
      <w:r w:rsidR="007D7CE3">
        <w:rPr>
          <w:lang w:val="en-US"/>
        </w:rPr>
        <w:t>s taken away, if we understand ‘capacity to make decisions’</w:t>
      </w:r>
      <w:r w:rsidR="009F154A" w:rsidRPr="009F154A">
        <w:rPr>
          <w:lang w:val="en-US"/>
        </w:rPr>
        <w:t xml:space="preserve"> here to mean the right to make them</w:t>
      </w:r>
      <w:r w:rsidR="009F154A">
        <w:rPr>
          <w:lang w:val="en-US"/>
        </w:rPr>
        <w:t>”</w:t>
      </w:r>
      <w:r w:rsidR="009F154A" w:rsidRPr="009F154A">
        <w:rPr>
          <w:lang w:val="en-US"/>
        </w:rPr>
        <w:t xml:space="preserve"> </w:t>
      </w:r>
      <w:r w:rsidR="009F154A">
        <w:rPr>
          <w:lang w:val="en-US"/>
        </w:rPr>
        <w:t>(p. 384).</w:t>
      </w:r>
      <w:r w:rsidR="00246E11">
        <w:rPr>
          <w:lang w:val="en-US"/>
        </w:rPr>
        <w:t xml:space="preserve"> The distinction </w:t>
      </w:r>
      <w:r w:rsidR="00281B02">
        <w:rPr>
          <w:lang w:val="en-US"/>
        </w:rPr>
        <w:t xml:space="preserve">is important as it </w:t>
      </w:r>
      <w:r w:rsidR="00246E11">
        <w:rPr>
          <w:lang w:val="en-US"/>
        </w:rPr>
        <w:t xml:space="preserve">highlights that mental capacity is an ability </w:t>
      </w:r>
      <w:r w:rsidR="00281B02">
        <w:rPr>
          <w:lang w:val="en-US"/>
        </w:rPr>
        <w:t>held by the</w:t>
      </w:r>
      <w:r w:rsidR="00246E11">
        <w:rPr>
          <w:lang w:val="en-US"/>
        </w:rPr>
        <w:t xml:space="preserve"> person but that external</w:t>
      </w:r>
      <w:r w:rsidR="0026747A">
        <w:rPr>
          <w:lang w:val="en-US"/>
        </w:rPr>
        <w:t xml:space="preserve"> recognitio</w:t>
      </w:r>
      <w:r w:rsidR="00281B02">
        <w:rPr>
          <w:lang w:val="en-US"/>
        </w:rPr>
        <w:t>n</w:t>
      </w:r>
      <w:r w:rsidR="00246E11">
        <w:rPr>
          <w:lang w:val="en-US"/>
        </w:rPr>
        <w:t xml:space="preserve"> </w:t>
      </w:r>
      <w:r w:rsidR="00376CB3">
        <w:rPr>
          <w:lang w:val="en-US"/>
        </w:rPr>
        <w:t xml:space="preserve">of that decision </w:t>
      </w:r>
      <w:r w:rsidR="00246E11">
        <w:rPr>
          <w:lang w:val="en-US"/>
        </w:rPr>
        <w:t>is</w:t>
      </w:r>
      <w:r w:rsidR="0026747A">
        <w:rPr>
          <w:lang w:val="en-US"/>
        </w:rPr>
        <w:t xml:space="preserve"> </w:t>
      </w:r>
      <w:r w:rsidR="00246E11">
        <w:rPr>
          <w:lang w:val="en-US"/>
        </w:rPr>
        <w:t>validated by law</w:t>
      </w:r>
      <w:r w:rsidR="00376CB3">
        <w:rPr>
          <w:lang w:val="en-US"/>
        </w:rPr>
        <w:t>. T</w:t>
      </w:r>
      <w:r w:rsidR="00281B02">
        <w:rPr>
          <w:lang w:val="en-US"/>
        </w:rPr>
        <w:t>hat is,</w:t>
      </w:r>
      <w:r w:rsidR="000C5389">
        <w:rPr>
          <w:lang w:val="en-US"/>
        </w:rPr>
        <w:t xml:space="preserve"> </w:t>
      </w:r>
      <w:r w:rsidR="00281B02">
        <w:rPr>
          <w:lang w:val="en-US"/>
        </w:rPr>
        <w:t xml:space="preserve">the </w:t>
      </w:r>
      <w:r w:rsidR="000C5389">
        <w:rPr>
          <w:lang w:val="en-US"/>
        </w:rPr>
        <w:t>person</w:t>
      </w:r>
      <w:r w:rsidR="0026747A">
        <w:rPr>
          <w:lang w:val="en-US"/>
        </w:rPr>
        <w:t xml:space="preserve"> </w:t>
      </w:r>
      <w:r w:rsidR="0026747A" w:rsidRPr="00225FF4">
        <w:rPr>
          <w:i/>
          <w:lang w:val="en-US"/>
        </w:rPr>
        <w:t xml:space="preserve">may </w:t>
      </w:r>
      <w:r w:rsidR="00281B02">
        <w:rPr>
          <w:i/>
          <w:lang w:val="en-US"/>
        </w:rPr>
        <w:t xml:space="preserve">(or may not) </w:t>
      </w:r>
      <w:r w:rsidR="001C60D3" w:rsidRPr="00225FF4">
        <w:rPr>
          <w:i/>
          <w:lang w:val="en-US"/>
        </w:rPr>
        <w:t>be permitted</w:t>
      </w:r>
      <w:r w:rsidR="001C60D3">
        <w:rPr>
          <w:lang w:val="en-US"/>
        </w:rPr>
        <w:t xml:space="preserve"> to </w:t>
      </w:r>
      <w:r w:rsidR="0026747A">
        <w:rPr>
          <w:lang w:val="en-US"/>
        </w:rPr>
        <w:t xml:space="preserve">act </w:t>
      </w:r>
      <w:r w:rsidR="001C60D3">
        <w:rPr>
          <w:lang w:val="en-US"/>
        </w:rPr>
        <w:t>on their will and preference</w:t>
      </w:r>
      <w:r w:rsidR="00246E11">
        <w:rPr>
          <w:lang w:val="en-US"/>
        </w:rPr>
        <w:t>.</w:t>
      </w:r>
      <w:r w:rsidR="00D20A79">
        <w:rPr>
          <w:lang w:val="en-AU"/>
        </w:rPr>
        <w:t xml:space="preserve"> </w:t>
      </w:r>
      <w:r w:rsidRPr="00E3754A">
        <w:rPr>
          <w:lang w:val="en-AU"/>
        </w:rPr>
        <w:t>Under th</w:t>
      </w:r>
      <w:r w:rsidR="00281B02">
        <w:rPr>
          <w:lang w:val="en-AU"/>
        </w:rPr>
        <w:t>is</w:t>
      </w:r>
      <w:r w:rsidRPr="00E3754A">
        <w:rPr>
          <w:lang w:val="en-AU"/>
        </w:rPr>
        <w:t xml:space="preserve"> traditional approach to legal capacity, legal capacity – and </w:t>
      </w:r>
      <w:r w:rsidR="00BF57E2" w:rsidRPr="00E3754A">
        <w:rPr>
          <w:lang w:val="en-AU"/>
        </w:rPr>
        <w:t xml:space="preserve">therefore </w:t>
      </w:r>
      <w:r w:rsidRPr="00E3754A">
        <w:rPr>
          <w:lang w:val="en-AU"/>
        </w:rPr>
        <w:t xml:space="preserve">expressions of will and preference – can be denied, i.e. a person is considered to be incapacitated as an agent under the law </w:t>
      </w:r>
      <w:r w:rsidR="005B5913" w:rsidRPr="00E3754A">
        <w:rPr>
          <w:lang w:val="en-AU"/>
        </w:rPr>
        <w:t>(</w:t>
      </w:r>
      <w:r w:rsidRPr="00E3754A">
        <w:rPr>
          <w:lang w:val="en-AU"/>
        </w:rPr>
        <w:t>Craigie, 2015;</w:t>
      </w:r>
      <w:r w:rsidR="00DB537C">
        <w:rPr>
          <w:lang w:val="en-AU"/>
        </w:rPr>
        <w:t xml:space="preserve"> Douglass, 2016;</w:t>
      </w:r>
      <w:r w:rsidRPr="00E3754A">
        <w:rPr>
          <w:lang w:val="en-AU"/>
        </w:rPr>
        <w:t xml:space="preserve"> Minkowitz, 2013; </w:t>
      </w:r>
      <w:r w:rsidR="00694F05" w:rsidRPr="00E3754A">
        <w:rPr>
          <w:lang w:val="en-AU"/>
        </w:rPr>
        <w:t xml:space="preserve">Willner, 2011; </w:t>
      </w:r>
      <w:r w:rsidRPr="00E3754A">
        <w:rPr>
          <w:lang w:val="en-AU"/>
        </w:rPr>
        <w:t xml:space="preserve">Wong et al., 1999). </w:t>
      </w:r>
      <w:r w:rsidR="0005655D" w:rsidRPr="00E3754A">
        <w:rPr>
          <w:szCs w:val="20"/>
          <w:lang w:val="en-AU"/>
        </w:rPr>
        <w:t>This approach</w:t>
      </w:r>
      <w:r w:rsidR="00281B02">
        <w:rPr>
          <w:szCs w:val="20"/>
          <w:lang w:val="en-AU"/>
        </w:rPr>
        <w:t>, in the view of some commentators,</w:t>
      </w:r>
      <w:r w:rsidRPr="00E3754A">
        <w:rPr>
          <w:szCs w:val="20"/>
          <w:lang w:val="en-AU"/>
        </w:rPr>
        <w:t xml:space="preserve"> assumes that it is permissible to perceive some groups as </w:t>
      </w:r>
      <w:r w:rsidR="00F051FC" w:rsidRPr="00E3754A">
        <w:rPr>
          <w:szCs w:val="20"/>
          <w:lang w:val="en-AU"/>
        </w:rPr>
        <w:t>‘</w:t>
      </w:r>
      <w:r w:rsidRPr="00E3754A">
        <w:rPr>
          <w:szCs w:val="20"/>
          <w:lang w:val="en-AU"/>
        </w:rPr>
        <w:t>less deserving</w:t>
      </w:r>
      <w:r w:rsidR="001F0524" w:rsidRPr="00E3754A">
        <w:rPr>
          <w:szCs w:val="20"/>
          <w:lang w:val="en-AU"/>
        </w:rPr>
        <w:t>’</w:t>
      </w:r>
      <w:r w:rsidRPr="00E3754A">
        <w:rPr>
          <w:szCs w:val="20"/>
          <w:lang w:val="en-AU"/>
        </w:rPr>
        <w:t xml:space="preserve"> of equal rights to legal capacity (Flynn &amp; Arstein-Kerslake, 2014</w:t>
      </w:r>
      <w:r w:rsidR="00F051FC" w:rsidRPr="00E3754A">
        <w:rPr>
          <w:szCs w:val="20"/>
          <w:lang w:val="en-AU"/>
        </w:rPr>
        <w:t>, p. 85</w:t>
      </w:r>
      <w:r w:rsidRPr="00E3754A">
        <w:rPr>
          <w:szCs w:val="20"/>
          <w:lang w:val="en-AU"/>
        </w:rPr>
        <w:t>).</w:t>
      </w:r>
      <w:r w:rsidR="00B53CC1" w:rsidRPr="00E3754A">
        <w:rPr>
          <w:rStyle w:val="FootnoteReference"/>
          <w:szCs w:val="20"/>
          <w:lang w:val="en-AU"/>
        </w:rPr>
        <w:footnoteReference w:id="5"/>
      </w:r>
      <w:r w:rsidRPr="00E3754A">
        <w:rPr>
          <w:szCs w:val="20"/>
          <w:lang w:val="en-AU"/>
        </w:rPr>
        <w:t xml:space="preserve"> </w:t>
      </w:r>
      <w:r w:rsidRPr="00E3754A">
        <w:rPr>
          <w:lang w:val="en-AU"/>
        </w:rPr>
        <w:t>Th</w:t>
      </w:r>
      <w:r w:rsidR="005B5913" w:rsidRPr="00E3754A">
        <w:rPr>
          <w:lang w:val="en-AU"/>
        </w:rPr>
        <w:t>is</w:t>
      </w:r>
      <w:r w:rsidRPr="00E3754A">
        <w:rPr>
          <w:lang w:val="en-AU"/>
        </w:rPr>
        <w:t xml:space="preserve"> </w:t>
      </w:r>
      <w:r w:rsidR="005B5913" w:rsidRPr="00E3754A">
        <w:rPr>
          <w:lang w:val="en-AU"/>
        </w:rPr>
        <w:t xml:space="preserve">traditional </w:t>
      </w:r>
      <w:r w:rsidRPr="00E3754A">
        <w:rPr>
          <w:lang w:val="en-AU"/>
        </w:rPr>
        <w:t xml:space="preserve">capacity-incapacity divide has been </w:t>
      </w:r>
      <w:r w:rsidR="00FF1EBF" w:rsidRPr="00E3754A">
        <w:rPr>
          <w:lang w:val="en-AU"/>
        </w:rPr>
        <w:t>referred</w:t>
      </w:r>
      <w:r w:rsidRPr="00E3754A">
        <w:rPr>
          <w:lang w:val="en-AU"/>
        </w:rPr>
        <w:t xml:space="preserve"> to as ‘the binary approach’ (Allen &amp; Tulich, 2015). The notion of </w:t>
      </w:r>
      <w:r w:rsidRPr="00E3754A">
        <w:rPr>
          <w:i/>
          <w:lang w:val="en-AU"/>
        </w:rPr>
        <w:t>mental capacity</w:t>
      </w:r>
      <w:r w:rsidRPr="00E3754A">
        <w:rPr>
          <w:lang w:val="en-AU"/>
        </w:rPr>
        <w:t xml:space="preserve"> is connected to the binary approach on the basis that mental capacity has historically been the basis for granting legal capacity or incapacity</w:t>
      </w:r>
      <w:r w:rsidR="00694F05" w:rsidRPr="00E3754A">
        <w:rPr>
          <w:lang w:val="en-AU"/>
        </w:rPr>
        <w:t xml:space="preserve"> (see Willner, 2011)</w:t>
      </w:r>
      <w:r w:rsidRPr="00E3754A">
        <w:rPr>
          <w:lang w:val="en-AU"/>
        </w:rPr>
        <w:t>.</w:t>
      </w:r>
      <w:r w:rsidRPr="00E3754A">
        <w:rPr>
          <w:color w:val="000000" w:themeColor="text1"/>
          <w:lang w:val="en-AU"/>
        </w:rPr>
        <w:t xml:space="preserve"> Richardson (2013) notes the connection </w:t>
      </w:r>
      <w:r w:rsidR="005B5913" w:rsidRPr="00E3754A">
        <w:rPr>
          <w:color w:val="000000" w:themeColor="text1"/>
          <w:lang w:val="en-AU"/>
        </w:rPr>
        <w:t>that conventionally has been</w:t>
      </w:r>
      <w:r w:rsidRPr="00E3754A">
        <w:rPr>
          <w:color w:val="000000" w:themeColor="text1"/>
          <w:lang w:val="en-AU"/>
        </w:rPr>
        <w:t xml:space="preserve"> made</w:t>
      </w:r>
      <w:r w:rsidR="0055443E" w:rsidRPr="00E3754A">
        <w:rPr>
          <w:color w:val="000000" w:themeColor="text1"/>
          <w:lang w:val="en-AU"/>
        </w:rPr>
        <w:t>,</w:t>
      </w:r>
      <w:r w:rsidRPr="00E3754A">
        <w:rPr>
          <w:color w:val="000000" w:themeColor="text1"/>
          <w:lang w:val="en-AU"/>
        </w:rPr>
        <w:t xml:space="preserve"> that is</w:t>
      </w:r>
      <w:r w:rsidR="0055443E" w:rsidRPr="00E3754A">
        <w:rPr>
          <w:color w:val="000000" w:themeColor="text1"/>
          <w:lang w:val="en-AU"/>
        </w:rPr>
        <w:t xml:space="preserve">: </w:t>
      </w:r>
      <w:r w:rsidRPr="00E3754A">
        <w:rPr>
          <w:color w:val="000000" w:themeColor="text1"/>
          <w:lang w:val="en-AU"/>
        </w:rPr>
        <w:t xml:space="preserve">the exercise of </w:t>
      </w:r>
      <w:r w:rsidRPr="00E3754A">
        <w:rPr>
          <w:i/>
          <w:color w:val="000000" w:themeColor="text1"/>
          <w:lang w:val="en-AU"/>
        </w:rPr>
        <w:t>legal capacity</w:t>
      </w:r>
      <w:r w:rsidRPr="00E3754A">
        <w:rPr>
          <w:color w:val="000000" w:themeColor="text1"/>
          <w:lang w:val="en-AU"/>
        </w:rPr>
        <w:t xml:space="preserve"> depends upon the possession of </w:t>
      </w:r>
      <w:r w:rsidRPr="00E3754A">
        <w:rPr>
          <w:i/>
          <w:color w:val="000000" w:themeColor="text1"/>
          <w:lang w:val="en-AU"/>
        </w:rPr>
        <w:t>mental</w:t>
      </w:r>
      <w:r w:rsidRPr="00E3754A">
        <w:rPr>
          <w:color w:val="000000" w:themeColor="text1"/>
          <w:lang w:val="en-AU"/>
        </w:rPr>
        <w:t xml:space="preserve"> capacity, a functional ability to process information and deliberate in order to reach an autonomous </w:t>
      </w:r>
      <w:r w:rsidRPr="00E3754A">
        <w:rPr>
          <w:lang w:val="en-AU"/>
        </w:rPr>
        <w:t>choice</w:t>
      </w:r>
      <w:r w:rsidR="00694F05" w:rsidRPr="00E3754A">
        <w:rPr>
          <w:lang w:val="en-AU"/>
        </w:rPr>
        <w:t xml:space="preserve"> (also see </w:t>
      </w:r>
      <w:r w:rsidR="0001271A">
        <w:rPr>
          <w:lang w:val="en-AU"/>
        </w:rPr>
        <w:t xml:space="preserve">Douglass, 2016; </w:t>
      </w:r>
      <w:r w:rsidR="00694F05" w:rsidRPr="00E3754A">
        <w:rPr>
          <w:lang w:val="en-AU"/>
        </w:rPr>
        <w:t>Willner, 2011)</w:t>
      </w:r>
      <w:r w:rsidRPr="00E3754A">
        <w:rPr>
          <w:lang w:val="en-AU"/>
        </w:rPr>
        <w:t xml:space="preserve">. </w:t>
      </w:r>
      <w:r w:rsidR="005B5913" w:rsidRPr="00E3754A">
        <w:rPr>
          <w:lang w:val="en-AU"/>
        </w:rPr>
        <w:t>In other words,</w:t>
      </w:r>
      <w:r w:rsidR="006F7CE1" w:rsidRPr="00E3754A">
        <w:rPr>
          <w:lang w:val="en-AU"/>
        </w:rPr>
        <w:t xml:space="preserve"> </w:t>
      </w:r>
      <w:r w:rsidRPr="00E3754A">
        <w:rPr>
          <w:lang w:val="en-AU"/>
        </w:rPr>
        <w:t xml:space="preserve">mental capacity based on a person’s cognitive functioning and decision-making ability has </w:t>
      </w:r>
      <w:r w:rsidR="005B5913" w:rsidRPr="00E3754A">
        <w:rPr>
          <w:lang w:val="en-AU"/>
        </w:rPr>
        <w:t xml:space="preserve">typically </w:t>
      </w:r>
      <w:r w:rsidRPr="00E3754A">
        <w:rPr>
          <w:lang w:val="en-AU"/>
        </w:rPr>
        <w:t>been used as the basis on which legal capacity has been granted (</w:t>
      </w:r>
      <w:r w:rsidRPr="00E3754A">
        <w:rPr>
          <w:color w:val="000000" w:themeColor="text1"/>
          <w:lang w:val="en-AU"/>
        </w:rPr>
        <w:t>Martin et al., 2012</w:t>
      </w:r>
      <w:r w:rsidRPr="00E3754A">
        <w:rPr>
          <w:lang w:val="en-AU"/>
        </w:rPr>
        <w:t xml:space="preserve">). In this context, ‘decision-making ability’ refers to a person’s set of abilities that can be assessed and which comprise an idea of what it means to be able to make decisions relatively independently (Martin et al., 2012). Decision-making ability encompasses cognitive or mental ability and also considers the processes a person uses to consider and weigh risks and benefits (Keeling, 2016) and their ability to communicate a decision (Pathare &amp; Shields, 2012). In this sense, </w:t>
      </w:r>
      <w:r w:rsidRPr="00E3754A">
        <w:rPr>
          <w:i/>
          <w:lang w:val="en-AU"/>
        </w:rPr>
        <w:t>legal capacity</w:t>
      </w:r>
      <w:r w:rsidRPr="00E3754A">
        <w:rPr>
          <w:lang w:val="en-AU"/>
        </w:rPr>
        <w:t xml:space="preserve"> has been conceived of as </w:t>
      </w:r>
      <w:r w:rsidR="00FF1EBF" w:rsidRPr="00E3754A">
        <w:rPr>
          <w:lang w:val="en-AU"/>
        </w:rPr>
        <w:t>referring</w:t>
      </w:r>
      <w:r w:rsidRPr="00E3754A">
        <w:rPr>
          <w:lang w:val="en-AU"/>
        </w:rPr>
        <w:t xml:space="preserve"> to the process where law recognises a person’s ability to make decisions for themselves (Devi, 2013). As previously noted, under traditional approaches to legal capacity, one would have legal capacity recogni</w:t>
      </w:r>
      <w:r w:rsidR="005252D0" w:rsidRPr="00E3754A">
        <w:rPr>
          <w:lang w:val="en-AU"/>
        </w:rPr>
        <w:t>s</w:t>
      </w:r>
      <w:r w:rsidRPr="00E3754A">
        <w:rPr>
          <w:lang w:val="en-AU"/>
        </w:rPr>
        <w:t>ed under law upon meeting thresholds (tests) for mental capacity (Ciavano, 2014; Devi et al., 2011). Where a person does not meet this threshold they are regarded as lacking mental capacity</w:t>
      </w:r>
      <w:r w:rsidR="00376CB3">
        <w:rPr>
          <w:lang w:val="en-AU"/>
        </w:rPr>
        <w:t xml:space="preserve"> and as a consequence</w:t>
      </w:r>
      <w:r w:rsidRPr="00E3754A">
        <w:rPr>
          <w:lang w:val="en-AU"/>
        </w:rPr>
        <w:t xml:space="preserve"> the person is denied legal capacity </w:t>
      </w:r>
      <w:r w:rsidR="001160C5" w:rsidRPr="00E3754A">
        <w:rPr>
          <w:lang w:val="en-AU"/>
        </w:rPr>
        <w:t>meaning</w:t>
      </w:r>
      <w:r w:rsidRPr="00E3754A">
        <w:rPr>
          <w:lang w:val="en-AU"/>
        </w:rPr>
        <w:t xml:space="preserve"> their decisions are not valid under law (</w:t>
      </w:r>
      <w:r w:rsidR="00CC750B" w:rsidRPr="00E3754A">
        <w:rPr>
          <w:lang w:val="en-AU"/>
        </w:rPr>
        <w:t xml:space="preserve">see Kerzner, 2011; </w:t>
      </w:r>
      <w:r w:rsidRPr="00E3754A">
        <w:rPr>
          <w:lang w:val="en-AU"/>
        </w:rPr>
        <w:t>Minkowitz, 2013</w:t>
      </w:r>
      <w:r w:rsidR="00303883" w:rsidRPr="00E3754A">
        <w:rPr>
          <w:lang w:val="en-AU"/>
        </w:rPr>
        <w:t>; Nilsson, 2012</w:t>
      </w:r>
      <w:r w:rsidRPr="00E3754A">
        <w:rPr>
          <w:lang w:val="en-AU"/>
        </w:rPr>
        <w:t xml:space="preserve">). This approach </w:t>
      </w:r>
      <w:r w:rsidR="005B5913" w:rsidRPr="00E3754A">
        <w:rPr>
          <w:lang w:val="en-AU"/>
        </w:rPr>
        <w:t xml:space="preserve">has </w:t>
      </w:r>
      <w:r w:rsidRPr="00E3754A">
        <w:rPr>
          <w:lang w:val="en-AU"/>
        </w:rPr>
        <w:t>provide</w:t>
      </w:r>
      <w:r w:rsidR="005B5913" w:rsidRPr="00E3754A">
        <w:rPr>
          <w:lang w:val="en-AU"/>
        </w:rPr>
        <w:t>d</w:t>
      </w:r>
      <w:r w:rsidRPr="00E3754A">
        <w:rPr>
          <w:lang w:val="en-AU"/>
        </w:rPr>
        <w:t xml:space="preserve"> the ethical basis for third party intervention and substituted decision-making (Series, 2015). </w:t>
      </w:r>
    </w:p>
    <w:p w14:paraId="2AED1562" w14:textId="5F536449" w:rsidR="00CE2A10" w:rsidRPr="00E3754A" w:rsidRDefault="00CE2A10" w:rsidP="00CE2A10">
      <w:pPr>
        <w:pStyle w:val="NoSpacing"/>
        <w:rPr>
          <w:lang w:val="en-AU"/>
        </w:rPr>
      </w:pPr>
      <w:r w:rsidRPr="00E3754A">
        <w:rPr>
          <w:lang w:val="en-AU"/>
        </w:rPr>
        <w:t>On the basis of traditional notions of legal and mental capacity, disabled persons have historically been denied equal recognition under law (Darvell, 2016; WNUSP, 2008; Watson, 2016a; Watson, 2016b; Weller, 2014; Woudzia, 2016).</w:t>
      </w:r>
      <w:r w:rsidR="00836155" w:rsidRPr="00E3754A">
        <w:rPr>
          <w:rStyle w:val="FootnoteReference"/>
          <w:lang w:val="en-AU"/>
        </w:rPr>
        <w:footnoteReference w:id="6"/>
      </w:r>
      <w:r w:rsidRPr="00E3754A">
        <w:rPr>
          <w:lang w:val="en-AU"/>
        </w:rPr>
        <w:t xml:space="preserve"> Bartlett (2012) describes how </w:t>
      </w:r>
      <w:r w:rsidR="001E369A" w:rsidRPr="00E3754A">
        <w:rPr>
          <w:lang w:val="en-AU"/>
        </w:rPr>
        <w:t>people</w:t>
      </w:r>
      <w:r w:rsidRPr="00E3754A">
        <w:rPr>
          <w:lang w:val="en-AU"/>
        </w:rPr>
        <w:t xml:space="preserve"> </w:t>
      </w:r>
      <w:r w:rsidR="00281B02">
        <w:rPr>
          <w:lang w:val="en-AU"/>
        </w:rPr>
        <w:t>who experience mental distress</w:t>
      </w:r>
      <w:r w:rsidRPr="00E3754A">
        <w:rPr>
          <w:lang w:val="en-AU"/>
        </w:rPr>
        <w:t xml:space="preserve"> have historically been denied capacity on a very low threshold of evidence regarding cognitive ability on the basis of </w:t>
      </w:r>
      <w:r w:rsidRPr="00E3754A">
        <w:rPr>
          <w:i/>
          <w:lang w:val="en-AU"/>
        </w:rPr>
        <w:t>parens patriae</w:t>
      </w:r>
      <w:r w:rsidRPr="00E3754A">
        <w:rPr>
          <w:lang w:val="en-AU"/>
        </w:rPr>
        <w:t xml:space="preserve"> and have been excluded from decision-making processes completely or without their knowledge.</w:t>
      </w:r>
    </w:p>
    <w:p w14:paraId="645A0FEA" w14:textId="4EE8D358" w:rsidR="00CE2A10" w:rsidRPr="00E3754A" w:rsidRDefault="00CE2A10" w:rsidP="00CE2A10">
      <w:pPr>
        <w:pStyle w:val="NoSpacing"/>
        <w:rPr>
          <w:lang w:val="en-AU"/>
        </w:rPr>
      </w:pPr>
      <w:r w:rsidRPr="00E3754A">
        <w:rPr>
          <w:lang w:val="en-AU"/>
        </w:rPr>
        <w:t xml:space="preserve">New Zealand law reflects the traditional connection made between legal and mental capacity, and the thresholds involved in this process. </w:t>
      </w:r>
      <w:r w:rsidR="00004520" w:rsidRPr="00E3754A">
        <w:rPr>
          <w:lang w:val="en-AU"/>
        </w:rPr>
        <w:t>In this country</w:t>
      </w:r>
      <w:r w:rsidRPr="00E3754A">
        <w:rPr>
          <w:lang w:val="en-AU"/>
        </w:rPr>
        <w:t xml:space="preserve">, </w:t>
      </w:r>
      <w:r w:rsidR="00C445B9">
        <w:rPr>
          <w:lang w:val="en-AU"/>
        </w:rPr>
        <w:t>the</w:t>
      </w:r>
      <w:r w:rsidRPr="00E3754A">
        <w:rPr>
          <w:lang w:val="en-AU"/>
        </w:rPr>
        <w:t xml:space="preserve"> PPPRA </w:t>
      </w:r>
      <w:r w:rsidR="00C445B9">
        <w:rPr>
          <w:lang w:val="en-AU"/>
        </w:rPr>
        <w:t>defines capacity and specifies thresholds that need to be met for the purposes of determining a person’s legal capacity. These require a</w:t>
      </w:r>
      <w:r w:rsidRPr="00E3754A">
        <w:rPr>
          <w:lang w:val="en-AU"/>
        </w:rPr>
        <w:t xml:space="preserve"> </w:t>
      </w:r>
      <w:r w:rsidR="00376CB3">
        <w:rPr>
          <w:lang w:val="en-AU"/>
        </w:rPr>
        <w:t xml:space="preserve">that a </w:t>
      </w:r>
      <w:r w:rsidRPr="00E3754A">
        <w:rPr>
          <w:lang w:val="en-AU"/>
        </w:rPr>
        <w:t>person</w:t>
      </w:r>
      <w:r w:rsidR="00016FC0">
        <w:rPr>
          <w:lang w:val="en-AU"/>
        </w:rPr>
        <w:t xml:space="preserve"> can</w:t>
      </w:r>
      <w:r w:rsidRPr="00E3754A">
        <w:rPr>
          <w:lang w:val="en-AU"/>
        </w:rPr>
        <w:t>:</w:t>
      </w:r>
    </w:p>
    <w:p w14:paraId="6E217080" w14:textId="240ED439" w:rsidR="00CE2A10" w:rsidRPr="00E3754A" w:rsidRDefault="00CE2A10" w:rsidP="00B65E4B">
      <w:pPr>
        <w:pStyle w:val="Quote"/>
        <w:rPr>
          <w:lang w:val="en-AU"/>
        </w:rPr>
      </w:pPr>
      <w:r w:rsidRPr="00E3754A">
        <w:rPr>
          <w:lang w:val="en-AU"/>
        </w:rPr>
        <w:t>understand the nature, and to foresee the consequences, of decisions in respect of matters relating to his or her personal care and welfare; and</w:t>
      </w:r>
    </w:p>
    <w:p w14:paraId="13E5DF4E" w14:textId="67F047A7" w:rsidR="00CE2A10" w:rsidRPr="00E3754A" w:rsidRDefault="00CE2A10" w:rsidP="00B65E4B">
      <w:pPr>
        <w:pStyle w:val="Quote"/>
        <w:rPr>
          <w:lang w:val="en-AU"/>
        </w:rPr>
      </w:pPr>
      <w:r w:rsidRPr="00E3754A">
        <w:rPr>
          <w:lang w:val="en-AU"/>
        </w:rPr>
        <w:t>communicate decisions in respect of those matters. (Protection of Personal and Property Rights 1988, Pt 1 S5)</w:t>
      </w:r>
    </w:p>
    <w:p w14:paraId="493D7B33" w14:textId="5500A75E" w:rsidR="00CE2A10" w:rsidRPr="00E3754A" w:rsidRDefault="00CE2A10" w:rsidP="00CE2A10">
      <w:pPr>
        <w:pStyle w:val="NoSpacing"/>
        <w:rPr>
          <w:lang w:val="en-AU"/>
        </w:rPr>
      </w:pPr>
      <w:r w:rsidRPr="00E3754A">
        <w:rPr>
          <w:lang w:val="en-AU"/>
        </w:rPr>
        <w:t xml:space="preserve">Whilst definitions of capacity differ in the detail across jurisdictions where the concept is in use, meeting the criteria to exercise legal capacity generally requires that a person </w:t>
      </w:r>
      <w:r w:rsidR="000E105D">
        <w:rPr>
          <w:lang w:val="en-AU"/>
        </w:rPr>
        <w:t>has</w:t>
      </w:r>
      <w:r w:rsidR="000E105D" w:rsidRPr="00E3754A">
        <w:rPr>
          <w:lang w:val="en-AU"/>
        </w:rPr>
        <w:t xml:space="preserve"> </w:t>
      </w:r>
      <w:r w:rsidRPr="00E3754A">
        <w:rPr>
          <w:lang w:val="en-AU"/>
        </w:rPr>
        <w:t xml:space="preserve">the ability to understand circumstance-relevant information, to be able to apply reason to that information in order to reach a decision, and to communicate that decision via any practical means (see, </w:t>
      </w:r>
      <w:r w:rsidR="006C6968" w:rsidRPr="00E3754A">
        <w:rPr>
          <w:lang w:val="en-AU"/>
        </w:rPr>
        <w:t>e.g.</w:t>
      </w:r>
      <w:r w:rsidRPr="00E3754A">
        <w:rPr>
          <w:lang w:val="en-AU"/>
        </w:rPr>
        <w:t xml:space="preserve"> Ashton, 2006; Douglass, 2016)</w:t>
      </w:r>
      <w:r w:rsidR="009804E9" w:rsidRPr="00E3754A">
        <w:rPr>
          <w:lang w:val="en-AU"/>
        </w:rPr>
        <w:t xml:space="preserve">. </w:t>
      </w:r>
    </w:p>
    <w:tbl>
      <w:tblPr>
        <w:tblStyle w:val="Style5"/>
        <w:tblW w:w="5000" w:type="pct"/>
        <w:tblLook w:val="04A0" w:firstRow="1" w:lastRow="0" w:firstColumn="1" w:lastColumn="0" w:noHBand="0" w:noVBand="1"/>
      </w:tblPr>
      <w:tblGrid>
        <w:gridCol w:w="9236"/>
      </w:tblGrid>
      <w:tr w:rsidR="00CE2A10" w:rsidRPr="00E3754A" w14:paraId="2472568D" w14:textId="77777777" w:rsidTr="001644B6">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56AC20C7" w14:textId="39B1AFE4" w:rsidR="00CE2A10" w:rsidRPr="00E3754A" w:rsidRDefault="00CE2A10" w:rsidP="009679FA">
            <w:pPr>
              <w:pStyle w:val="Heading3"/>
              <w:rPr>
                <w:lang w:val="en-AU"/>
              </w:rPr>
            </w:pPr>
            <w:bookmarkStart w:id="34" w:name="_Toc337970280"/>
            <w:bookmarkStart w:id="35" w:name="_Toc339036846"/>
            <w:r w:rsidRPr="00E3754A">
              <w:rPr>
                <w:lang w:val="en-AU"/>
              </w:rPr>
              <w:t xml:space="preserve">Legal </w:t>
            </w:r>
            <w:r w:rsidR="005B5913" w:rsidRPr="00E3754A">
              <w:rPr>
                <w:lang w:val="en-AU"/>
              </w:rPr>
              <w:t>and</w:t>
            </w:r>
            <w:r w:rsidRPr="00E3754A">
              <w:rPr>
                <w:lang w:val="en-AU"/>
              </w:rPr>
              <w:t xml:space="preserve"> mental capacity in the context of the Convention</w:t>
            </w:r>
            <w:bookmarkEnd w:id="34"/>
            <w:bookmarkEnd w:id="35"/>
          </w:p>
        </w:tc>
      </w:tr>
    </w:tbl>
    <w:p w14:paraId="516F140C" w14:textId="2A34BA6E" w:rsidR="00CE2A10" w:rsidRPr="00E3754A" w:rsidRDefault="00E94D2B" w:rsidP="00CE2A10">
      <w:pPr>
        <w:pStyle w:val="NoSpacing"/>
        <w:rPr>
          <w:color w:val="000000" w:themeColor="text1"/>
          <w:lang w:val="en-AU"/>
        </w:rPr>
      </w:pPr>
      <w:r w:rsidRPr="00E3754A">
        <w:rPr>
          <w:lang w:val="en-AU"/>
        </w:rPr>
        <w:t xml:space="preserve">As outlined in the previous section, </w:t>
      </w:r>
      <w:r w:rsidR="00CE2A10" w:rsidRPr="00E3754A">
        <w:rPr>
          <w:lang w:val="en-AU"/>
        </w:rPr>
        <w:t xml:space="preserve">Article 12 challenges the traditional notions described above that obstruct </w:t>
      </w:r>
      <w:r w:rsidR="005B5913" w:rsidRPr="00E3754A">
        <w:rPr>
          <w:lang w:val="en-AU"/>
        </w:rPr>
        <w:t xml:space="preserve">disabled people </w:t>
      </w:r>
      <w:r w:rsidR="00CE2A10" w:rsidRPr="00E3754A">
        <w:rPr>
          <w:lang w:val="en-AU"/>
        </w:rPr>
        <w:t xml:space="preserve">from making decisions and realising their will and preference. In the context of the Convention, there is a distinction between and separation of legal and mental capacity, where </w:t>
      </w:r>
      <w:r w:rsidR="00CE2A10" w:rsidRPr="00E3754A">
        <w:rPr>
          <w:color w:val="000000" w:themeColor="text1"/>
          <w:lang w:val="en-AU"/>
        </w:rPr>
        <w:t>legal capacity is recognised</w:t>
      </w:r>
      <w:r w:rsidR="00176BE0" w:rsidRPr="00E3754A">
        <w:rPr>
          <w:color w:val="000000" w:themeColor="text1"/>
          <w:lang w:val="en-AU"/>
        </w:rPr>
        <w:t xml:space="preserve"> as</w:t>
      </w:r>
      <w:r w:rsidR="00CE2A10" w:rsidRPr="00E3754A">
        <w:rPr>
          <w:color w:val="000000" w:themeColor="text1"/>
          <w:lang w:val="en-AU"/>
        </w:rPr>
        <w:t xml:space="preserve"> a non-derogable and universal right that every person can exercise irrespective of mental capacity</w:t>
      </w:r>
      <w:r w:rsidR="00CE2A10" w:rsidRPr="00E3754A">
        <w:rPr>
          <w:lang w:val="en-AU"/>
        </w:rPr>
        <w:t xml:space="preserve"> </w:t>
      </w:r>
      <w:r w:rsidR="00CE2A10" w:rsidRPr="00E3754A">
        <w:rPr>
          <w:color w:val="000000" w:themeColor="text1"/>
          <w:lang w:val="en-AU"/>
        </w:rPr>
        <w:t xml:space="preserve">or disability </w:t>
      </w:r>
      <w:r w:rsidR="00CE2A10" w:rsidRPr="00E3754A">
        <w:rPr>
          <w:lang w:val="en-AU"/>
        </w:rPr>
        <w:t>(General Comment</w:t>
      </w:r>
      <w:r w:rsidR="00B815B0" w:rsidRPr="00E3754A">
        <w:rPr>
          <w:lang w:val="en-AU"/>
        </w:rPr>
        <w:t xml:space="preserve"> No. 1</w:t>
      </w:r>
      <w:r w:rsidR="00452143" w:rsidRPr="00E3754A">
        <w:rPr>
          <w:lang w:val="en-AU"/>
        </w:rPr>
        <w:t>, 2014</w:t>
      </w:r>
      <w:r w:rsidR="00CE2A10" w:rsidRPr="00E3754A">
        <w:rPr>
          <w:lang w:val="en-AU"/>
        </w:rPr>
        <w:t>; Devi, 2013; Mental Disability Advocacy Center, n.d.;</w:t>
      </w:r>
      <w:r w:rsidR="00DA2390">
        <w:rPr>
          <w:lang w:val="en-AU"/>
        </w:rPr>
        <w:t xml:space="preserve"> Parker, 2016;</w:t>
      </w:r>
      <w:r w:rsidR="00CE2A10" w:rsidRPr="00E3754A">
        <w:rPr>
          <w:lang w:val="en-AU"/>
        </w:rPr>
        <w:t xml:space="preserve"> </w:t>
      </w:r>
      <w:r w:rsidR="00886EBC" w:rsidRPr="00E3754A">
        <w:rPr>
          <w:lang w:val="en-AU"/>
        </w:rPr>
        <w:t xml:space="preserve">Perlin, 2013; </w:t>
      </w:r>
      <w:r w:rsidR="00CE2A10" w:rsidRPr="00E3754A">
        <w:rPr>
          <w:lang w:val="en-AU"/>
        </w:rPr>
        <w:t>Stavert, 2015). Specifically, the Convention recogni</w:t>
      </w:r>
      <w:r w:rsidR="00B736B8" w:rsidRPr="00E3754A">
        <w:rPr>
          <w:lang w:val="en-AU"/>
        </w:rPr>
        <w:t>s</w:t>
      </w:r>
      <w:r w:rsidR="00CE2A10" w:rsidRPr="00E3754A">
        <w:rPr>
          <w:lang w:val="en-AU"/>
        </w:rPr>
        <w:t xml:space="preserve">es that all persons have legal capacity by virtue of being human as a human right (Browning et al., 2014; Devi et al., 2011; Flynn &amp; Arstein-Kerslake, 2014). This is entitled the ‘rights-based model’ for capacity (as is described in Dickey, 2016; </w:t>
      </w:r>
      <w:r w:rsidR="00F26BBD" w:rsidRPr="00E3754A">
        <w:rPr>
          <w:lang w:val="en-AU"/>
        </w:rPr>
        <w:t>General Comment No. 1, 2014;</w:t>
      </w:r>
      <w:r w:rsidR="00CE2A10" w:rsidRPr="00E3754A">
        <w:rPr>
          <w:lang w:val="en-AU"/>
        </w:rPr>
        <w:t xml:space="preserve"> Keeling, 2016; Lang et al., 2011; Werner, 2012). Additionally, because it applies to all human persons, it is also </w:t>
      </w:r>
      <w:r w:rsidR="00FF1EBF" w:rsidRPr="00E3754A">
        <w:rPr>
          <w:lang w:val="en-AU"/>
        </w:rPr>
        <w:t>referred</w:t>
      </w:r>
      <w:r w:rsidRPr="00E3754A">
        <w:rPr>
          <w:lang w:val="en-AU"/>
        </w:rPr>
        <w:t xml:space="preserve"> to as</w:t>
      </w:r>
      <w:r w:rsidR="00CE2A10" w:rsidRPr="00E3754A">
        <w:rPr>
          <w:lang w:val="en-AU"/>
        </w:rPr>
        <w:t xml:space="preserve"> the </w:t>
      </w:r>
      <w:r w:rsidR="00CE2A10" w:rsidRPr="00E3754A">
        <w:rPr>
          <w:i/>
          <w:lang w:val="en-AU"/>
        </w:rPr>
        <w:t>universal</w:t>
      </w:r>
      <w:r w:rsidR="00CE2A10" w:rsidRPr="00E3754A">
        <w:rPr>
          <w:lang w:val="en-AU"/>
        </w:rPr>
        <w:t xml:space="preserve"> approach to capacity (Stavert, 2016). </w:t>
      </w:r>
      <w:r w:rsidR="005B5913" w:rsidRPr="00E3754A">
        <w:rPr>
          <w:szCs w:val="20"/>
          <w:lang w:val="en-AU"/>
        </w:rPr>
        <w:t>In this sense</w:t>
      </w:r>
      <w:r w:rsidR="00CE2A10" w:rsidRPr="00E3754A">
        <w:rPr>
          <w:szCs w:val="20"/>
          <w:lang w:val="en-AU"/>
        </w:rPr>
        <w:t xml:space="preserve">, the Convention firmly rejects the idea that some people meet standards for legal capacity and others do not in an ‘all or nothing’ sense (Browning et al., 2014). </w:t>
      </w:r>
      <w:r w:rsidR="005B5913" w:rsidRPr="00E3754A">
        <w:rPr>
          <w:lang w:val="en-AU"/>
        </w:rPr>
        <w:t>Instead t</w:t>
      </w:r>
      <w:r w:rsidR="00CE2A10" w:rsidRPr="00E3754A">
        <w:rPr>
          <w:lang w:val="en-AU"/>
        </w:rPr>
        <w:t xml:space="preserve">he Convention </w:t>
      </w:r>
      <w:r w:rsidR="00176BE0" w:rsidRPr="00E3754A">
        <w:rPr>
          <w:lang w:val="en-AU"/>
        </w:rPr>
        <w:t>percei</w:t>
      </w:r>
      <w:r w:rsidR="00CE2A10" w:rsidRPr="00E3754A">
        <w:rPr>
          <w:lang w:val="en-AU"/>
        </w:rPr>
        <w:t xml:space="preserve">ves legal capacity </w:t>
      </w:r>
      <w:r w:rsidR="00820F87" w:rsidRPr="00E3754A">
        <w:rPr>
          <w:lang w:val="en-AU"/>
        </w:rPr>
        <w:t xml:space="preserve">to be </w:t>
      </w:r>
      <w:r w:rsidR="005B5913" w:rsidRPr="00E3754A">
        <w:rPr>
          <w:lang w:val="en-AU"/>
        </w:rPr>
        <w:t>held by all people all of the time</w:t>
      </w:r>
      <w:r w:rsidR="00CE2A10" w:rsidRPr="00E3754A">
        <w:rPr>
          <w:lang w:val="en-AU"/>
        </w:rPr>
        <w:t xml:space="preserve">, and </w:t>
      </w:r>
      <w:r w:rsidR="005B5913" w:rsidRPr="00E3754A">
        <w:rPr>
          <w:lang w:val="en-AU"/>
        </w:rPr>
        <w:t xml:space="preserve">consequently, </w:t>
      </w:r>
      <w:r w:rsidR="00CE2A10" w:rsidRPr="00E3754A">
        <w:rPr>
          <w:lang w:val="en-AU"/>
        </w:rPr>
        <w:t xml:space="preserve">that the notion of ‘incapacity’ should be discarded, no matter the extent to which a person requires support in relation to their exercise of legal capacity (Devi et al., 2011; Weller, 2014). Further, by virtue of the right to legal capacity, a person’s will and preferences </w:t>
      </w:r>
      <w:r w:rsidR="005B5913" w:rsidRPr="00E3754A">
        <w:rPr>
          <w:lang w:val="en-AU"/>
        </w:rPr>
        <w:t xml:space="preserve">should be </w:t>
      </w:r>
      <w:r w:rsidR="00CE2A10" w:rsidRPr="00E3754A">
        <w:rPr>
          <w:lang w:val="en-AU"/>
        </w:rPr>
        <w:t xml:space="preserve">at the centre of and </w:t>
      </w:r>
      <w:r w:rsidR="005B5913" w:rsidRPr="00E3754A">
        <w:rPr>
          <w:lang w:val="en-AU"/>
        </w:rPr>
        <w:t xml:space="preserve">be </w:t>
      </w:r>
      <w:r w:rsidR="00CE2A10" w:rsidRPr="00E3754A">
        <w:rPr>
          <w:lang w:val="en-AU"/>
        </w:rPr>
        <w:t xml:space="preserve">the determining factor within any decision-making process (Keeling, 2016; Series, 2015; Watson, 2016a). Because the Convention </w:t>
      </w:r>
      <w:r w:rsidR="00C86CA8" w:rsidRPr="00E3754A">
        <w:rPr>
          <w:lang w:val="en-AU"/>
        </w:rPr>
        <w:t>separates</w:t>
      </w:r>
      <w:r w:rsidR="00CE2A10" w:rsidRPr="00E3754A">
        <w:rPr>
          <w:lang w:val="en-AU"/>
        </w:rPr>
        <w:t xml:space="preserve"> cognitive function from legal capacity it is acknowledged that a person’s decision-making ability can fluctuate while legal capacity remains static (Browning et al., 2014). In </w:t>
      </w:r>
      <w:r w:rsidR="005B5913" w:rsidRPr="00E3754A">
        <w:rPr>
          <w:lang w:val="en-AU"/>
        </w:rPr>
        <w:t>short</w:t>
      </w:r>
      <w:r w:rsidR="00CE2A10" w:rsidRPr="00E3754A">
        <w:rPr>
          <w:lang w:val="en-AU"/>
        </w:rPr>
        <w:t xml:space="preserve">, the Convention perceives </w:t>
      </w:r>
      <w:r w:rsidR="00CE2A10" w:rsidRPr="00E3754A">
        <w:rPr>
          <w:i/>
          <w:lang w:val="en-AU"/>
        </w:rPr>
        <w:t>all</w:t>
      </w:r>
      <w:r w:rsidR="00CE2A10" w:rsidRPr="00E3754A">
        <w:rPr>
          <w:lang w:val="en-AU"/>
        </w:rPr>
        <w:t xml:space="preserve"> people as having legal capacity </w:t>
      </w:r>
      <w:r w:rsidR="003D3DBA" w:rsidRPr="00E3754A">
        <w:rPr>
          <w:lang w:val="en-AU"/>
        </w:rPr>
        <w:t>but also recognises that some people require</w:t>
      </w:r>
      <w:r w:rsidR="00CE2A10" w:rsidRPr="00E3754A">
        <w:rPr>
          <w:lang w:val="en-AU"/>
        </w:rPr>
        <w:t xml:space="preserve"> assistance to demonstrate or exercise mental capacity. </w:t>
      </w:r>
      <w:r w:rsidR="00CE2A10" w:rsidRPr="00E3754A">
        <w:rPr>
          <w:color w:val="000000" w:themeColor="text1"/>
          <w:lang w:val="en-AU"/>
        </w:rPr>
        <w:t>This position sits in stark contrast with traditional interpretations of legal capacity and relationships with mental capacity</w:t>
      </w:r>
      <w:r w:rsidR="002F7344">
        <w:rPr>
          <w:color w:val="000000" w:themeColor="text1"/>
          <w:lang w:val="en-AU"/>
        </w:rPr>
        <w:t>. It also</w:t>
      </w:r>
      <w:r w:rsidR="00A908F0" w:rsidRPr="00A908F0">
        <w:rPr>
          <w:color w:val="000000" w:themeColor="text1"/>
          <w:lang w:val="en-AU"/>
        </w:rPr>
        <w:t xml:space="preserve"> </w:t>
      </w:r>
      <w:r w:rsidR="00A908F0">
        <w:rPr>
          <w:color w:val="000000" w:themeColor="text1"/>
          <w:lang w:val="en-AU"/>
        </w:rPr>
        <w:t>remains an issue of contention</w:t>
      </w:r>
      <w:r w:rsidR="002F7344">
        <w:rPr>
          <w:color w:val="000000" w:themeColor="text1"/>
          <w:lang w:val="en-AU"/>
        </w:rPr>
        <w:t xml:space="preserve"> in the literature</w:t>
      </w:r>
      <w:r w:rsidR="00A908F0">
        <w:rPr>
          <w:color w:val="000000" w:themeColor="text1"/>
          <w:lang w:val="en-AU"/>
        </w:rPr>
        <w:t xml:space="preserve">, as is </w:t>
      </w:r>
      <w:r w:rsidR="002F7344">
        <w:rPr>
          <w:color w:val="000000" w:themeColor="text1"/>
          <w:lang w:val="en-AU"/>
        </w:rPr>
        <w:t>explored</w:t>
      </w:r>
      <w:r w:rsidR="00A908F0">
        <w:rPr>
          <w:color w:val="000000" w:themeColor="text1"/>
          <w:lang w:val="en-AU"/>
        </w:rPr>
        <w:t xml:space="preserve"> by Douglass (2016)</w:t>
      </w:r>
      <w:r w:rsidR="002F7344">
        <w:rPr>
          <w:color w:val="000000" w:themeColor="text1"/>
          <w:lang w:val="en-AU"/>
        </w:rPr>
        <w:t xml:space="preserve">, and is </w:t>
      </w:r>
      <w:r w:rsidR="00016FC0">
        <w:rPr>
          <w:color w:val="000000" w:themeColor="text1"/>
          <w:lang w:val="en-AU"/>
        </w:rPr>
        <w:t>identified</w:t>
      </w:r>
      <w:r w:rsidR="002F7344">
        <w:rPr>
          <w:color w:val="000000" w:themeColor="text1"/>
          <w:lang w:val="en-AU"/>
        </w:rPr>
        <w:t xml:space="preserve"> </w:t>
      </w:r>
      <w:r w:rsidR="00B52C0B">
        <w:rPr>
          <w:color w:val="000000" w:themeColor="text1"/>
          <w:lang w:val="en-AU"/>
        </w:rPr>
        <w:t xml:space="preserve">by some </w:t>
      </w:r>
      <w:r w:rsidR="00016FC0">
        <w:rPr>
          <w:color w:val="000000" w:themeColor="text1"/>
          <w:lang w:val="en-AU"/>
        </w:rPr>
        <w:t>as</w:t>
      </w:r>
      <w:r w:rsidR="002F7344">
        <w:rPr>
          <w:color w:val="000000" w:themeColor="text1"/>
          <w:lang w:val="en-AU"/>
        </w:rPr>
        <w:t xml:space="preserve"> being an unrealistic obligation.</w:t>
      </w:r>
      <w:r w:rsidR="00CE2A10" w:rsidRPr="00E3754A">
        <w:rPr>
          <w:color w:val="000000" w:themeColor="text1"/>
          <w:lang w:val="en-AU"/>
        </w:rPr>
        <w:t xml:space="preserve"> </w:t>
      </w:r>
    </w:p>
    <w:tbl>
      <w:tblPr>
        <w:tblStyle w:val="Style1"/>
        <w:tblW w:w="0" w:type="auto"/>
        <w:tblLook w:val="04A0" w:firstRow="1" w:lastRow="0" w:firstColumn="1" w:lastColumn="0" w:noHBand="0" w:noVBand="1"/>
      </w:tblPr>
      <w:tblGrid>
        <w:gridCol w:w="9236"/>
      </w:tblGrid>
      <w:tr w:rsidR="00A80F5B" w:rsidRPr="00E3754A" w14:paraId="357C4B03" w14:textId="77777777" w:rsidTr="00A80F5B">
        <w:tc>
          <w:tcPr>
            <w:tcW w:w="9236" w:type="dxa"/>
          </w:tcPr>
          <w:p w14:paraId="2100C46D" w14:textId="48B1DF7C" w:rsidR="00A80F5B" w:rsidRPr="00E3754A" w:rsidRDefault="00A80F5B" w:rsidP="003D3DBA">
            <w:pPr>
              <w:pStyle w:val="NoSpacing"/>
              <w:rPr>
                <w:color w:val="000000" w:themeColor="text1"/>
                <w:lang w:val="en-AU"/>
              </w:rPr>
            </w:pPr>
            <w:r w:rsidRPr="00E3754A">
              <w:rPr>
                <w:rStyle w:val="Emphasis"/>
                <w:lang w:val="en-AU"/>
              </w:rPr>
              <w:t xml:space="preserve">Sweden </w:t>
            </w:r>
            <w:r w:rsidRPr="00E3754A">
              <w:rPr>
                <w:lang w:val="en-AU"/>
              </w:rPr>
              <w:t xml:space="preserve">has completely discarded notions of ‘legal incapacity’ (Åkerberg, 2011; </w:t>
            </w:r>
            <w:r w:rsidR="001E3959" w:rsidRPr="00E3754A">
              <w:rPr>
                <w:lang w:val="en-AU"/>
              </w:rPr>
              <w:t>Committee on the Rights of Persons with Disabilities, 2014c</w:t>
            </w:r>
            <w:r w:rsidRPr="00E3754A">
              <w:rPr>
                <w:lang w:val="en-AU"/>
              </w:rPr>
              <w:t xml:space="preserve">). However, decisions can be </w:t>
            </w:r>
            <w:r w:rsidR="009C3617" w:rsidRPr="00E3754A">
              <w:rPr>
                <w:lang w:val="en-AU"/>
              </w:rPr>
              <w:t xml:space="preserve">recognised </w:t>
            </w:r>
            <w:r w:rsidRPr="00E3754A">
              <w:rPr>
                <w:lang w:val="en-AU"/>
              </w:rPr>
              <w:t xml:space="preserve">as legally invalid, for example, when a person would not have made a choice had they been in a more optimal state to make decisions (Åkerberg, 2011). Sweden is regarded as </w:t>
            </w:r>
            <w:r w:rsidR="003D3DBA" w:rsidRPr="00E3754A">
              <w:rPr>
                <w:lang w:val="en-AU"/>
              </w:rPr>
              <w:t xml:space="preserve">having instituted </w:t>
            </w:r>
            <w:r w:rsidRPr="00E3754A">
              <w:rPr>
                <w:lang w:val="en-AU"/>
              </w:rPr>
              <w:t xml:space="preserve">one of the most progressive law reforms </w:t>
            </w:r>
            <w:r w:rsidR="003D3DBA" w:rsidRPr="00E3754A">
              <w:rPr>
                <w:lang w:val="en-AU"/>
              </w:rPr>
              <w:t>in response to the</w:t>
            </w:r>
            <w:r w:rsidRPr="00E3754A">
              <w:rPr>
                <w:lang w:val="en-AU"/>
              </w:rPr>
              <w:t xml:space="preserve"> Convention (Watson, 2016a). The Committee recogni</w:t>
            </w:r>
            <w:r w:rsidR="009C3617" w:rsidRPr="00E3754A">
              <w:rPr>
                <w:lang w:val="en-AU"/>
              </w:rPr>
              <w:t>s</w:t>
            </w:r>
            <w:r w:rsidRPr="00E3754A">
              <w:rPr>
                <w:lang w:val="en-AU"/>
              </w:rPr>
              <w:t xml:space="preserve">es that Sweden has abolished notions of ‘incapacity’ (see </w:t>
            </w:r>
            <w:r w:rsidR="001E3959" w:rsidRPr="00E3754A">
              <w:rPr>
                <w:lang w:val="en-AU"/>
              </w:rPr>
              <w:t>Committee on the Rights of Persons with Disabilities, 2014c</w:t>
            </w:r>
            <w:r w:rsidRPr="00E3754A">
              <w:rPr>
                <w:lang w:val="en-AU"/>
              </w:rPr>
              <w:t>)</w:t>
            </w:r>
            <w:r w:rsidR="006C1F6F">
              <w:rPr>
                <w:lang w:val="en-AU"/>
              </w:rPr>
              <w:t>,</w:t>
            </w:r>
            <w:r w:rsidRPr="00E3754A">
              <w:rPr>
                <w:lang w:val="en-AU"/>
              </w:rPr>
              <w:t xml:space="preserve"> however</w:t>
            </w:r>
            <w:r w:rsidR="006C1F6F">
              <w:rPr>
                <w:lang w:val="en-AU"/>
              </w:rPr>
              <w:t>,</w:t>
            </w:r>
            <w:r w:rsidRPr="00E3754A">
              <w:rPr>
                <w:lang w:val="en-AU"/>
              </w:rPr>
              <w:t xml:space="preserve"> authors such as Watson (2016a) take the position that Sweden implies incapacity by means of its substitute-like support mechanisms.</w:t>
            </w:r>
          </w:p>
        </w:tc>
      </w:tr>
    </w:tbl>
    <w:p w14:paraId="2D60EC5F" w14:textId="2E8CA60E" w:rsidR="00CE2A10" w:rsidRPr="00E3754A" w:rsidRDefault="00CE2A10" w:rsidP="00CE2A10">
      <w:pPr>
        <w:pStyle w:val="NoSpacing"/>
        <w:rPr>
          <w:lang w:val="en-AU"/>
        </w:rPr>
      </w:pPr>
      <w:r w:rsidRPr="00E3754A">
        <w:rPr>
          <w:lang w:val="en-AU"/>
        </w:rPr>
        <w:t xml:space="preserve">Whilst much of the capacity literature focuses on the significance of disconnecting notions of legal and mental capacity in the context of health care, many authors note that it is important to recognise the significance of the </w:t>
      </w:r>
      <w:r w:rsidR="001644B6" w:rsidRPr="00E3754A">
        <w:rPr>
          <w:lang w:val="en-AU"/>
        </w:rPr>
        <w:t>absolute</w:t>
      </w:r>
      <w:r w:rsidRPr="00E3754A">
        <w:rPr>
          <w:lang w:val="en-AU"/>
        </w:rPr>
        <w:t xml:space="preserve"> right to legal capacity in many other contexts. These include but are not limited to: education (Whitlatch, 2016; Werner, 2016), employment (Werner, 2012), criminal and contract law (Craigie, 2015; David</w:t>
      </w:r>
      <w:r w:rsidR="006812CE" w:rsidRPr="00E3754A">
        <w:rPr>
          <w:lang w:val="en-AU"/>
        </w:rPr>
        <w:t>son et al., 2016; Slobogin, 2015</w:t>
      </w:r>
      <w:r w:rsidRPr="00E3754A">
        <w:rPr>
          <w:lang w:val="en-AU"/>
        </w:rPr>
        <w:t xml:space="preserve">), residential choices (Chan, 2016; Darvell, 2016; Watson, 2016a; Werner, 2012), and sexual and reproductive choices (Werner, 2012). The literature also argues for full expression of supported decision-making in all facets of the daily lives of disabled people (Stainton, 2015; Tracy, 2015). </w:t>
      </w:r>
    </w:p>
    <w:tbl>
      <w:tblPr>
        <w:tblStyle w:val="Style5"/>
        <w:tblW w:w="5000" w:type="pct"/>
        <w:tblLook w:val="04A0" w:firstRow="1" w:lastRow="0" w:firstColumn="1" w:lastColumn="0" w:noHBand="0" w:noVBand="1"/>
      </w:tblPr>
      <w:tblGrid>
        <w:gridCol w:w="9236"/>
      </w:tblGrid>
      <w:tr w:rsidR="00CE2A10" w:rsidRPr="00E3754A" w14:paraId="3CDB14BF" w14:textId="77777777" w:rsidTr="001644B6">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7A58D472" w14:textId="77777777" w:rsidR="00CE2A10" w:rsidRPr="00E3754A" w:rsidRDefault="00CE2A10" w:rsidP="009679FA">
            <w:pPr>
              <w:pStyle w:val="Heading3"/>
              <w:rPr>
                <w:lang w:val="en-AU"/>
              </w:rPr>
            </w:pPr>
            <w:bookmarkStart w:id="36" w:name="_Toc337970281"/>
            <w:bookmarkStart w:id="37" w:name="_Toc339036847"/>
            <w:r w:rsidRPr="00E3754A">
              <w:rPr>
                <w:lang w:val="en-AU"/>
              </w:rPr>
              <w:t>The role of capacity assessment in the age of the Convention</w:t>
            </w:r>
            <w:bookmarkEnd w:id="36"/>
            <w:bookmarkEnd w:id="37"/>
          </w:p>
        </w:tc>
      </w:tr>
    </w:tbl>
    <w:p w14:paraId="3CABB267" w14:textId="43E0E900" w:rsidR="004D25B6" w:rsidRPr="00E3754A" w:rsidRDefault="00CE2A10" w:rsidP="004D25B6">
      <w:pPr>
        <w:pStyle w:val="NoSpacing"/>
        <w:rPr>
          <w:lang w:val="en-AU"/>
        </w:rPr>
      </w:pPr>
      <w:r w:rsidRPr="00E3754A">
        <w:rPr>
          <w:lang w:val="en-AU"/>
        </w:rPr>
        <w:t>In challenging legal capacity, the Convention seeks to also challenge capacity assessments (as described earlier in this section). The test emp</w:t>
      </w:r>
      <w:r w:rsidR="003F6523" w:rsidRPr="00E3754A">
        <w:rPr>
          <w:lang w:val="en-AU"/>
        </w:rPr>
        <w:t>lo</w:t>
      </w:r>
      <w:r w:rsidRPr="00E3754A">
        <w:rPr>
          <w:lang w:val="en-AU"/>
        </w:rPr>
        <w:t xml:space="preserve">yed in </w:t>
      </w:r>
      <w:r w:rsidR="00004520" w:rsidRPr="00E3754A">
        <w:rPr>
          <w:lang w:val="en-AU"/>
        </w:rPr>
        <w:t>New Zealand’s</w:t>
      </w:r>
      <w:r w:rsidRPr="00E3754A">
        <w:rPr>
          <w:lang w:val="en-AU"/>
        </w:rPr>
        <w:t xml:space="preserve"> </w:t>
      </w:r>
      <w:r w:rsidR="002B49CA" w:rsidRPr="00E3754A">
        <w:rPr>
          <w:lang w:val="en-AU"/>
        </w:rPr>
        <w:t xml:space="preserve">Protection of Personal and Property Rights Act </w:t>
      </w:r>
      <w:r w:rsidR="0082134C" w:rsidRPr="00E3754A">
        <w:rPr>
          <w:lang w:val="en-AU"/>
        </w:rPr>
        <w:t>(</w:t>
      </w:r>
      <w:r w:rsidR="002B49CA" w:rsidRPr="00E3754A">
        <w:rPr>
          <w:lang w:val="en-AU"/>
        </w:rPr>
        <w:t>1988</w:t>
      </w:r>
      <w:r w:rsidR="0082134C" w:rsidRPr="00E3754A">
        <w:rPr>
          <w:lang w:val="en-AU"/>
        </w:rPr>
        <w:t>)</w:t>
      </w:r>
      <w:r w:rsidR="002B49CA" w:rsidRPr="00E3754A">
        <w:rPr>
          <w:lang w:val="en-AU"/>
        </w:rPr>
        <w:t xml:space="preserve"> (“</w:t>
      </w:r>
      <w:r w:rsidRPr="00E3754A">
        <w:rPr>
          <w:lang w:val="en-AU"/>
        </w:rPr>
        <w:t>PPPRA</w:t>
      </w:r>
      <w:r w:rsidR="002B49CA" w:rsidRPr="00E3754A">
        <w:rPr>
          <w:lang w:val="en-AU"/>
        </w:rPr>
        <w:t>”)</w:t>
      </w:r>
      <w:r w:rsidRPr="00E3754A">
        <w:rPr>
          <w:lang w:val="en-AU"/>
        </w:rPr>
        <w:t xml:space="preserve"> and commonly employed in other jurisdictions has been entitled the ‘functional test’ for capacity. This test, along with other tests in which disability and cognitive ability are deciding factors, </w:t>
      </w:r>
      <w:r w:rsidR="00DF3B4A">
        <w:rPr>
          <w:lang w:val="en-AU"/>
        </w:rPr>
        <w:t>is</w:t>
      </w:r>
      <w:r w:rsidR="00DF3B4A" w:rsidRPr="00E3754A">
        <w:rPr>
          <w:lang w:val="en-AU"/>
        </w:rPr>
        <w:t xml:space="preserve"> </w:t>
      </w:r>
      <w:r w:rsidRPr="00E3754A">
        <w:rPr>
          <w:lang w:val="en-AU"/>
        </w:rPr>
        <w:t>challenged by the Convention and considered discriminatory</w:t>
      </w:r>
      <w:r w:rsidR="004D25B6" w:rsidRPr="00E3754A">
        <w:rPr>
          <w:lang w:val="en-AU"/>
        </w:rPr>
        <w:t xml:space="preserve">. These tests include the: </w:t>
      </w:r>
    </w:p>
    <w:p w14:paraId="21E7F67B" w14:textId="48B231B8" w:rsidR="004D25B6" w:rsidRPr="00E3754A" w:rsidRDefault="004D25B6" w:rsidP="007E51DB">
      <w:pPr>
        <w:pStyle w:val="NoSpacing"/>
        <w:numPr>
          <w:ilvl w:val="0"/>
          <w:numId w:val="13"/>
        </w:numPr>
        <w:rPr>
          <w:lang w:val="en-AU"/>
        </w:rPr>
      </w:pPr>
      <w:r w:rsidRPr="00E3754A">
        <w:rPr>
          <w:lang w:val="en-AU"/>
        </w:rPr>
        <w:t xml:space="preserve">Functional approach: where a person </w:t>
      </w:r>
      <w:r w:rsidR="001160C5" w:rsidRPr="00E3754A">
        <w:rPr>
          <w:lang w:val="en-AU"/>
        </w:rPr>
        <w:t xml:space="preserve">is </w:t>
      </w:r>
      <w:r w:rsidRPr="00E3754A">
        <w:rPr>
          <w:lang w:val="en-AU"/>
        </w:rPr>
        <w:t xml:space="preserve">found to not have capacity on the basis that a person’s decision-making skills are considered to be deficient. </w:t>
      </w:r>
    </w:p>
    <w:p w14:paraId="5AE79716" w14:textId="291675AB" w:rsidR="004D25B6" w:rsidRPr="00E3754A" w:rsidRDefault="004D25B6" w:rsidP="007E51DB">
      <w:pPr>
        <w:pStyle w:val="NoSpacing"/>
        <w:numPr>
          <w:ilvl w:val="0"/>
          <w:numId w:val="13"/>
        </w:numPr>
        <w:rPr>
          <w:lang w:val="en-AU"/>
        </w:rPr>
      </w:pPr>
      <w:r w:rsidRPr="00E3754A">
        <w:rPr>
          <w:lang w:val="en-AU"/>
        </w:rPr>
        <w:t xml:space="preserve">Status approach: </w:t>
      </w:r>
      <w:r w:rsidR="001160C5" w:rsidRPr="00E3754A">
        <w:rPr>
          <w:lang w:val="en-AU"/>
        </w:rPr>
        <w:t xml:space="preserve">where a person is </w:t>
      </w:r>
      <w:r w:rsidRPr="00E3754A">
        <w:rPr>
          <w:lang w:val="en-AU"/>
        </w:rPr>
        <w:t>found to not have capacity on the basis of the diagnosis of an impairment.</w:t>
      </w:r>
    </w:p>
    <w:p w14:paraId="4DB16619" w14:textId="2A922928" w:rsidR="00CE2A10" w:rsidRPr="00E3754A" w:rsidRDefault="004D25B6" w:rsidP="007E51DB">
      <w:pPr>
        <w:pStyle w:val="NoSpacing"/>
        <w:numPr>
          <w:ilvl w:val="0"/>
          <w:numId w:val="13"/>
        </w:numPr>
        <w:rPr>
          <w:lang w:val="en-AU"/>
        </w:rPr>
      </w:pPr>
      <w:r w:rsidRPr="00E3754A">
        <w:rPr>
          <w:lang w:val="en-AU"/>
        </w:rPr>
        <w:t xml:space="preserve">Outcome approach: </w:t>
      </w:r>
      <w:r w:rsidR="001160C5" w:rsidRPr="00E3754A">
        <w:rPr>
          <w:lang w:val="en-AU"/>
        </w:rPr>
        <w:t xml:space="preserve">where a person is </w:t>
      </w:r>
      <w:r w:rsidRPr="00E3754A">
        <w:rPr>
          <w:lang w:val="en-AU"/>
        </w:rPr>
        <w:t>found to not have capacity on the basis that a person is making a choice that is estimated will have negative or harmful consequences to the person themselves or others</w:t>
      </w:r>
      <w:r w:rsidR="008770BC" w:rsidRPr="00E3754A">
        <w:rPr>
          <w:lang w:val="en-AU"/>
        </w:rPr>
        <w:t xml:space="preserve"> (see Ciavano, 2014; Devi et al., 2011; Nilsson, 2012).</w:t>
      </w:r>
    </w:p>
    <w:p w14:paraId="29A6A473" w14:textId="315203F0" w:rsidR="00CE2A10" w:rsidRPr="00E3754A" w:rsidRDefault="00CE2A10" w:rsidP="00CE2A10">
      <w:pPr>
        <w:pStyle w:val="NoSpacing"/>
        <w:rPr>
          <w:lang w:val="en-AU"/>
        </w:rPr>
      </w:pPr>
      <w:r w:rsidRPr="00E3754A">
        <w:rPr>
          <w:lang w:val="en-AU"/>
        </w:rPr>
        <w:t>The functional approach has traditionally been considered to be a value-neutral test (Richardson, 2012; Series 2015). However, this interpretation is challenged by the Convention</w:t>
      </w:r>
      <w:r w:rsidR="003F6523" w:rsidRPr="00E3754A">
        <w:rPr>
          <w:lang w:val="en-AU"/>
        </w:rPr>
        <w:t>, which</w:t>
      </w:r>
      <w:r w:rsidRPr="00E3754A">
        <w:rPr>
          <w:lang w:val="en-AU"/>
        </w:rPr>
        <w:t xml:space="preserve"> see</w:t>
      </w:r>
      <w:r w:rsidR="003F6523" w:rsidRPr="00E3754A">
        <w:rPr>
          <w:lang w:val="en-AU"/>
        </w:rPr>
        <w:t>s</w:t>
      </w:r>
      <w:r w:rsidRPr="00E3754A">
        <w:rPr>
          <w:lang w:val="en-AU"/>
        </w:rPr>
        <w:t xml:space="preserve"> this test as being value-laden and discriminatory towards disabled </w:t>
      </w:r>
      <w:r w:rsidR="003F6523" w:rsidRPr="00E3754A">
        <w:rPr>
          <w:lang w:val="en-AU"/>
        </w:rPr>
        <w:t xml:space="preserve">people </w:t>
      </w:r>
      <w:r w:rsidRPr="00E3754A">
        <w:rPr>
          <w:lang w:val="en-AU"/>
        </w:rPr>
        <w:t>(</w:t>
      </w:r>
      <w:r w:rsidR="00226FC0" w:rsidRPr="00E3754A">
        <w:rPr>
          <w:lang w:val="en-AU"/>
        </w:rPr>
        <w:t xml:space="preserve">Arstein-Kerslake, 2014; </w:t>
      </w:r>
      <w:r w:rsidR="00DF1B1D" w:rsidRPr="00E3754A">
        <w:rPr>
          <w:lang w:val="en-AU"/>
        </w:rPr>
        <w:t xml:space="preserve">Byrnes, 2007; </w:t>
      </w:r>
      <w:r w:rsidR="000A5D75" w:rsidRPr="00E3754A">
        <w:rPr>
          <w:lang w:val="en-AU"/>
        </w:rPr>
        <w:t>Carney, 2015b</w:t>
      </w:r>
      <w:r w:rsidRPr="00E3754A">
        <w:rPr>
          <w:lang w:val="en-AU"/>
        </w:rPr>
        <w:t>; Flynn &amp; Arstein-Kerslake, 2014; General Comment</w:t>
      </w:r>
      <w:r w:rsidR="001E3959" w:rsidRPr="00E3754A">
        <w:rPr>
          <w:lang w:val="en-AU"/>
        </w:rPr>
        <w:t xml:space="preserve"> No. 1</w:t>
      </w:r>
      <w:r w:rsidR="00F26BBD" w:rsidRPr="00E3754A">
        <w:rPr>
          <w:lang w:val="en-AU"/>
        </w:rPr>
        <w:t>, 2014</w:t>
      </w:r>
      <w:r w:rsidRPr="00E3754A">
        <w:rPr>
          <w:lang w:val="en-AU"/>
        </w:rPr>
        <w:t>; Richardson</w:t>
      </w:r>
      <w:r w:rsidR="00DF1B1D" w:rsidRPr="00E3754A">
        <w:rPr>
          <w:lang w:val="en-AU"/>
        </w:rPr>
        <w:t>, 2012</w:t>
      </w:r>
      <w:r w:rsidR="007B3FC3" w:rsidRPr="00E3754A">
        <w:rPr>
          <w:lang w:val="en-AU"/>
        </w:rPr>
        <w:t>; Series et al., 2014</w:t>
      </w:r>
      <w:r w:rsidRPr="00E3754A">
        <w:rPr>
          <w:lang w:val="en-AU"/>
        </w:rPr>
        <w:t>). Notable commentators and researchers on the Convention (see for example</w:t>
      </w:r>
      <w:r w:rsidR="003E3C32" w:rsidRPr="00E3754A">
        <w:rPr>
          <w:lang w:val="en-AU"/>
        </w:rPr>
        <w:t xml:space="preserve"> Arstein-Kerslake, 2014;</w:t>
      </w:r>
      <w:r w:rsidRPr="00E3754A">
        <w:rPr>
          <w:lang w:val="en-AU"/>
        </w:rPr>
        <w:t xml:space="preserve"> Flynn &amp; Arstein-Kerslake, 2014) explain that disability acts as the threshold factor within all the aforementioned tests. With regard to the functional test, the process involves using any medical evidence of an impairment to infer that a person does not have the ability to make a particular decision. This test ultimately </w:t>
      </w:r>
      <w:r w:rsidR="003F6523" w:rsidRPr="00E3754A">
        <w:rPr>
          <w:lang w:val="en-AU"/>
        </w:rPr>
        <w:t>applies</w:t>
      </w:r>
      <w:r w:rsidRPr="00E3754A">
        <w:rPr>
          <w:lang w:val="en-AU"/>
        </w:rPr>
        <w:t xml:space="preserve"> disability as a threshold factor – even if it does so indirectly (Flynn &amp; Arstein-Kerslake, 2014). Additionally, groups of people, particularly disabled people, are disproportionately more likely </w:t>
      </w:r>
      <w:r w:rsidR="00C47509" w:rsidRPr="00E3754A">
        <w:rPr>
          <w:lang w:val="en-AU"/>
        </w:rPr>
        <w:t xml:space="preserve">to be </w:t>
      </w:r>
      <w:r w:rsidRPr="00E3754A">
        <w:rPr>
          <w:lang w:val="en-AU"/>
        </w:rPr>
        <w:t xml:space="preserve">perceived </w:t>
      </w:r>
      <w:r w:rsidR="00C47509" w:rsidRPr="00E3754A">
        <w:rPr>
          <w:lang w:val="en-AU"/>
        </w:rPr>
        <w:t xml:space="preserve">as </w:t>
      </w:r>
      <w:r w:rsidRPr="00E3754A">
        <w:rPr>
          <w:lang w:val="en-AU"/>
        </w:rPr>
        <w:t xml:space="preserve">lacking capacity to make a decision, and </w:t>
      </w:r>
      <w:r w:rsidR="00C47509" w:rsidRPr="00E3754A">
        <w:rPr>
          <w:lang w:val="en-AU"/>
        </w:rPr>
        <w:t>therefore</w:t>
      </w:r>
      <w:r w:rsidRPr="00E3754A">
        <w:rPr>
          <w:lang w:val="en-AU"/>
        </w:rPr>
        <w:t xml:space="preserve"> much more likely to have their expressions of agency obstructed (</w:t>
      </w:r>
      <w:r w:rsidR="000A5D75" w:rsidRPr="00E3754A">
        <w:rPr>
          <w:lang w:val="en-AU"/>
        </w:rPr>
        <w:t>Carney, 2015b</w:t>
      </w:r>
      <w:r w:rsidRPr="00E3754A">
        <w:rPr>
          <w:lang w:val="en-AU"/>
        </w:rPr>
        <w:t>). In addition, being found to lack capacity is made on the basis of interactions with people in positions of power and social and political contexts, which Stavert (2015</w:t>
      </w:r>
      <w:r w:rsidR="00FC7A83" w:rsidRPr="00E3754A">
        <w:rPr>
          <w:lang w:val="en-AU"/>
        </w:rPr>
        <w:t>; n.d.</w:t>
      </w:r>
      <w:r w:rsidRPr="00E3754A">
        <w:rPr>
          <w:lang w:val="en-AU"/>
        </w:rPr>
        <w:t>) and Stefan (quoted in Series, 201</w:t>
      </w:r>
      <w:r w:rsidR="001160C5" w:rsidRPr="00E3754A">
        <w:rPr>
          <w:lang w:val="en-AU"/>
        </w:rPr>
        <w:t>6) argue</w:t>
      </w:r>
      <w:r w:rsidRPr="00E3754A">
        <w:rPr>
          <w:lang w:val="en-AU"/>
        </w:rPr>
        <w:t xml:space="preserve"> compromises the value-neutral status of capacity assessment. Therefore, maintaining notions of ‘incapacity’ is perceived to be a violation of the principle of equality underlying Article 12 and </w:t>
      </w:r>
      <w:r w:rsidR="008C174C" w:rsidRPr="00E3754A">
        <w:rPr>
          <w:lang w:val="en-AU"/>
        </w:rPr>
        <w:t>consequently</w:t>
      </w:r>
      <w:r w:rsidRPr="00E3754A">
        <w:rPr>
          <w:lang w:val="en-AU"/>
        </w:rPr>
        <w:t xml:space="preserve"> is inconsistent with the </w:t>
      </w:r>
      <w:r w:rsidR="003F6523" w:rsidRPr="00E3754A">
        <w:rPr>
          <w:lang w:val="en-AU"/>
        </w:rPr>
        <w:t xml:space="preserve">Convention </w:t>
      </w:r>
      <w:r w:rsidRPr="00E3754A">
        <w:rPr>
          <w:lang w:val="en-AU"/>
        </w:rPr>
        <w:t xml:space="preserve">(see </w:t>
      </w:r>
      <w:r w:rsidR="000A5D75" w:rsidRPr="00E3754A">
        <w:rPr>
          <w:lang w:val="en-AU"/>
        </w:rPr>
        <w:t>Carney, 2015b</w:t>
      </w:r>
      <w:r w:rsidRPr="00E3754A">
        <w:rPr>
          <w:lang w:val="en-AU"/>
        </w:rPr>
        <w:t xml:space="preserve">; </w:t>
      </w:r>
      <w:r w:rsidR="00F26BBD" w:rsidRPr="00E3754A">
        <w:rPr>
          <w:lang w:val="en-AU"/>
        </w:rPr>
        <w:t>General Comment No. 1, 2014;</w:t>
      </w:r>
      <w:r w:rsidRPr="00E3754A">
        <w:rPr>
          <w:lang w:val="en-AU"/>
        </w:rPr>
        <w:t xml:space="preserve"> WNUSP, 2008). This is what has led to c</w:t>
      </w:r>
      <w:r w:rsidR="003F6523" w:rsidRPr="00E3754A">
        <w:rPr>
          <w:lang w:val="en-AU"/>
        </w:rPr>
        <w:t>a</w:t>
      </w:r>
      <w:r w:rsidRPr="00E3754A">
        <w:rPr>
          <w:lang w:val="en-AU"/>
        </w:rPr>
        <w:t xml:space="preserve">lls </w:t>
      </w:r>
      <w:r w:rsidR="003F6523" w:rsidRPr="00E3754A">
        <w:rPr>
          <w:lang w:val="en-AU"/>
        </w:rPr>
        <w:t>for the construct of</w:t>
      </w:r>
      <w:r w:rsidRPr="00E3754A">
        <w:rPr>
          <w:lang w:val="en-AU"/>
        </w:rPr>
        <w:t xml:space="preserve"> incapacity to be discarded (Browning et al., 2014; </w:t>
      </w:r>
      <w:r w:rsidR="00F26BBD" w:rsidRPr="00E3754A">
        <w:rPr>
          <w:lang w:val="en-AU"/>
        </w:rPr>
        <w:t>General Comment No. 1, 2014;</w:t>
      </w:r>
      <w:r w:rsidRPr="00E3754A">
        <w:rPr>
          <w:lang w:val="en-AU"/>
        </w:rPr>
        <w:t xml:space="preserve"> WNUSP, 2008). Consistent with the Convention, the literature generally supports the separation of mental capacity and cognitive functioning from the process of recogni</w:t>
      </w:r>
      <w:r w:rsidR="009C3962" w:rsidRPr="00E3754A">
        <w:rPr>
          <w:lang w:val="en-AU"/>
        </w:rPr>
        <w:t>s</w:t>
      </w:r>
      <w:r w:rsidRPr="00E3754A">
        <w:rPr>
          <w:lang w:val="en-AU"/>
        </w:rPr>
        <w:t>ing legal capacity under law (Flynn &amp; Arstein-Kerslake, 2014; Gooding, 2013; Richardson, 2012). It is recognised that every person, with or without a disability, has different cognitive functioning and decision-making ability to an extent that ‘all or nothing’ approaches cannot reflect (Flynn &amp; Arstein-Kerslake, 2014).</w:t>
      </w:r>
    </w:p>
    <w:tbl>
      <w:tblPr>
        <w:tblStyle w:val="Style5"/>
        <w:tblW w:w="5000" w:type="pct"/>
        <w:tblLook w:val="04A0" w:firstRow="1" w:lastRow="0" w:firstColumn="1" w:lastColumn="0" w:noHBand="0" w:noVBand="1"/>
      </w:tblPr>
      <w:tblGrid>
        <w:gridCol w:w="9236"/>
      </w:tblGrid>
      <w:tr w:rsidR="00CE2A10" w:rsidRPr="00E3754A" w14:paraId="01EA31C8" w14:textId="77777777" w:rsidTr="001644B6">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78FFA1AC" w14:textId="77777777" w:rsidR="00CE2A10" w:rsidRPr="00E3754A" w:rsidRDefault="00CE2A10" w:rsidP="009679FA">
            <w:pPr>
              <w:pStyle w:val="Heading3"/>
              <w:rPr>
                <w:lang w:val="en-AU"/>
              </w:rPr>
            </w:pPr>
            <w:bookmarkStart w:id="38" w:name="_Toc337970282"/>
            <w:bookmarkStart w:id="39" w:name="_Toc339036848"/>
            <w:r w:rsidRPr="00E3754A">
              <w:rPr>
                <w:lang w:val="en-AU"/>
              </w:rPr>
              <w:t>Rights to legal standing versus rights to legal agency</w:t>
            </w:r>
            <w:bookmarkEnd w:id="38"/>
            <w:bookmarkEnd w:id="39"/>
          </w:p>
        </w:tc>
      </w:tr>
    </w:tbl>
    <w:p w14:paraId="10848785" w14:textId="3D8DA4AA" w:rsidR="00CE2A10" w:rsidRPr="00E3754A" w:rsidRDefault="00CE2A10" w:rsidP="00CE2A10">
      <w:pPr>
        <w:pStyle w:val="NoSpacing"/>
        <w:rPr>
          <w:lang w:val="en-AU"/>
        </w:rPr>
      </w:pPr>
      <w:r w:rsidRPr="00E3754A">
        <w:rPr>
          <w:lang w:val="en-AU"/>
        </w:rPr>
        <w:t>Historically, legal capacity has been concerned with legal recognition and the granting of full legal personhood, that is, the granting of legal agency and status (Arstein-Kerslake &amp; Flynn, 2014; Arstein-Kerslake &amp; Flynn, 2015; Browning et al., 2014</w:t>
      </w:r>
      <w:r w:rsidR="00CC750B" w:rsidRPr="00E3754A">
        <w:rPr>
          <w:lang w:val="en-AU"/>
        </w:rPr>
        <w:t>; Kerzner, 2011</w:t>
      </w:r>
      <w:r w:rsidR="007B3FC3" w:rsidRPr="00E3754A">
        <w:rPr>
          <w:lang w:val="en-AU"/>
        </w:rPr>
        <w:t>; Series et al., 2014</w:t>
      </w:r>
      <w:r w:rsidRPr="00E3754A">
        <w:rPr>
          <w:lang w:val="en-AU"/>
        </w:rPr>
        <w:t>). However, as previously alluded to</w:t>
      </w:r>
      <w:r w:rsidR="003F6523" w:rsidRPr="00E3754A">
        <w:rPr>
          <w:lang w:val="en-AU"/>
        </w:rPr>
        <w:t>,</w:t>
      </w:r>
      <w:r w:rsidRPr="00E3754A">
        <w:rPr>
          <w:lang w:val="en-AU"/>
        </w:rPr>
        <w:t xml:space="preserve"> there is debate in the literature concerning the appropriateness of granting legal capacity to all persons regardless of mental c</w:t>
      </w:r>
      <w:r w:rsidR="00B7502A" w:rsidRPr="00E3754A">
        <w:rPr>
          <w:lang w:val="en-AU"/>
        </w:rPr>
        <w:t>apacity, as well as debate</w:t>
      </w:r>
      <w:r w:rsidRPr="00E3754A">
        <w:rPr>
          <w:lang w:val="en-AU"/>
        </w:rPr>
        <w:t xml:space="preserve"> as to whether or not the Convention intended to grant rights to legal capacity in the full sense, including standing and agency. </w:t>
      </w:r>
      <w:r w:rsidRPr="00E3754A">
        <w:rPr>
          <w:i/>
          <w:lang w:val="en-AU"/>
        </w:rPr>
        <w:t>Legal standing</w:t>
      </w:r>
      <w:r w:rsidRPr="00E3754A">
        <w:rPr>
          <w:lang w:val="en-AU"/>
        </w:rPr>
        <w:t xml:space="preserve"> (or status) reflects the situation whereby a person is a holder of rights and the state has an obligation to protect and enforce those rights (Flynn &amp; Arstein-Kerslake, 2014; Series, 2015; Werner &amp; Chabany, 2015). </w:t>
      </w:r>
      <w:r w:rsidRPr="00E3754A">
        <w:rPr>
          <w:i/>
          <w:lang w:val="en-AU"/>
        </w:rPr>
        <w:t>Legal agency</w:t>
      </w:r>
      <w:r w:rsidRPr="00E3754A">
        <w:rPr>
          <w:lang w:val="en-AU"/>
        </w:rPr>
        <w:t xml:space="preserve"> is concerned with a right to exercise legal capacity and take action under law (Åkerberg, 2011; Browning et al., 2014; Flynn &amp; Arstein-Kerslake, 2014; Stainton, 2015; Werner &amp; Chabany, 2015). For example, if disabled </w:t>
      </w:r>
      <w:r w:rsidR="003F6523" w:rsidRPr="00E3754A">
        <w:rPr>
          <w:lang w:val="en-AU"/>
        </w:rPr>
        <w:t xml:space="preserve">people </w:t>
      </w:r>
      <w:r w:rsidRPr="00E3754A">
        <w:rPr>
          <w:lang w:val="en-AU"/>
        </w:rPr>
        <w:t xml:space="preserve">are granted </w:t>
      </w:r>
      <w:r w:rsidRPr="00E3754A">
        <w:rPr>
          <w:i/>
          <w:lang w:val="en-AU"/>
        </w:rPr>
        <w:t>legal agency</w:t>
      </w:r>
      <w:r w:rsidRPr="00E3754A">
        <w:rPr>
          <w:lang w:val="en-AU"/>
        </w:rPr>
        <w:t xml:space="preserve"> under the Convention, they are able to make a full range of decisions, even those that are dangerous or compromise their welfare</w:t>
      </w:r>
      <w:r w:rsidR="003F6523" w:rsidRPr="00E3754A">
        <w:rPr>
          <w:lang w:val="en-AU"/>
        </w:rPr>
        <w:t>,</w:t>
      </w:r>
      <w:r w:rsidRPr="00E3754A">
        <w:rPr>
          <w:lang w:val="en-AU"/>
        </w:rPr>
        <w:t xml:space="preserve"> </w:t>
      </w:r>
      <w:r w:rsidR="003F6523" w:rsidRPr="00E3754A">
        <w:rPr>
          <w:lang w:val="en-AU"/>
        </w:rPr>
        <w:t>and even if they do not</w:t>
      </w:r>
      <w:r w:rsidRPr="00E3754A">
        <w:rPr>
          <w:lang w:val="en-AU"/>
        </w:rPr>
        <w:t xml:space="preserve"> fully understand</w:t>
      </w:r>
      <w:r w:rsidR="003F6523" w:rsidRPr="00E3754A">
        <w:rPr>
          <w:lang w:val="en-AU"/>
        </w:rPr>
        <w:t xml:space="preserve"> the </w:t>
      </w:r>
      <w:r w:rsidRPr="00E3754A">
        <w:rPr>
          <w:lang w:val="en-AU"/>
        </w:rPr>
        <w:t>implications of their choices</w:t>
      </w:r>
      <w:r w:rsidR="0029717F" w:rsidRPr="00E3754A">
        <w:rPr>
          <w:lang w:val="en-AU"/>
        </w:rPr>
        <w:t xml:space="preserve"> (as discussed in </w:t>
      </w:r>
      <w:r w:rsidRPr="00E3754A">
        <w:rPr>
          <w:lang w:val="en-AU"/>
        </w:rPr>
        <w:t xml:space="preserve">Chan, 2016; Dawson, 2015; Dunn et al., 2008; Gooding, </w:t>
      </w:r>
      <w:r w:rsidR="00222FB9" w:rsidRPr="00E3754A">
        <w:rPr>
          <w:lang w:val="en-AU"/>
        </w:rPr>
        <w:t>2015; Gooding, 2013; Kapp, 2007</w:t>
      </w:r>
      <w:r w:rsidRPr="00E3754A">
        <w:rPr>
          <w:lang w:val="en-AU"/>
        </w:rPr>
        <w:t xml:space="preserve">). Conversely, if </w:t>
      </w:r>
      <w:r w:rsidR="003F6523" w:rsidRPr="00E3754A">
        <w:rPr>
          <w:lang w:val="en-AU"/>
        </w:rPr>
        <w:t xml:space="preserve">disabled people </w:t>
      </w:r>
      <w:r w:rsidRPr="00E3754A">
        <w:rPr>
          <w:lang w:val="en-AU"/>
        </w:rPr>
        <w:t xml:space="preserve">are granted </w:t>
      </w:r>
      <w:r w:rsidR="003F6523" w:rsidRPr="00E3754A">
        <w:rPr>
          <w:lang w:val="en-AU"/>
        </w:rPr>
        <w:t xml:space="preserve">only </w:t>
      </w:r>
      <w:r w:rsidRPr="00E3754A">
        <w:rPr>
          <w:i/>
          <w:lang w:val="en-AU"/>
        </w:rPr>
        <w:t>legal status</w:t>
      </w:r>
      <w:r w:rsidRPr="00E3754A">
        <w:rPr>
          <w:lang w:val="en-AU"/>
        </w:rPr>
        <w:t xml:space="preserve"> under the Convention, then they do not have the same </w:t>
      </w:r>
      <w:r w:rsidR="008C174C" w:rsidRPr="00E3754A">
        <w:rPr>
          <w:lang w:val="en-AU"/>
        </w:rPr>
        <w:t>ability</w:t>
      </w:r>
      <w:r w:rsidRPr="00E3754A">
        <w:rPr>
          <w:lang w:val="en-AU"/>
        </w:rPr>
        <w:t xml:space="preserve"> to make dangerous decisions </w:t>
      </w:r>
      <w:r w:rsidR="008C174C" w:rsidRPr="00E3754A">
        <w:rPr>
          <w:lang w:val="en-AU"/>
        </w:rPr>
        <w:t>and</w:t>
      </w:r>
      <w:r w:rsidR="006F7CE1" w:rsidRPr="00E3754A">
        <w:rPr>
          <w:lang w:val="en-AU"/>
        </w:rPr>
        <w:t xml:space="preserve"> </w:t>
      </w:r>
      <w:r w:rsidRPr="00E3754A">
        <w:rPr>
          <w:lang w:val="en-AU"/>
        </w:rPr>
        <w:t xml:space="preserve">the state still has obligations to protect them from abuse. </w:t>
      </w:r>
    </w:p>
    <w:p w14:paraId="474FC632" w14:textId="4FF08C27" w:rsidR="00CE2A10" w:rsidRPr="00E3754A" w:rsidRDefault="00CE2A10" w:rsidP="00CE2A10">
      <w:pPr>
        <w:pStyle w:val="NoSpacing"/>
        <w:rPr>
          <w:lang w:val="en-AU"/>
        </w:rPr>
      </w:pPr>
      <w:r w:rsidRPr="00E3754A">
        <w:rPr>
          <w:lang w:val="en-AU"/>
        </w:rPr>
        <w:t xml:space="preserve">On one side of the debate, authors argue that the Convention and General Comment do not </w:t>
      </w:r>
      <w:r w:rsidR="009C3962" w:rsidRPr="00E3754A">
        <w:rPr>
          <w:lang w:val="en-AU"/>
        </w:rPr>
        <w:t xml:space="preserve">recognise </w:t>
      </w:r>
      <w:r w:rsidRPr="00E3754A">
        <w:rPr>
          <w:lang w:val="en-AU"/>
        </w:rPr>
        <w:t>a right to legal agency under ‘legal capacity’ because it would be unreasonable to do so and does not protect the welfare and integrity of disabled persons who may need to be protected from their own decisions (see for example Bach &amp; Kerzner, 2010</w:t>
      </w:r>
      <w:r w:rsidR="00F22251" w:rsidRPr="00E3754A">
        <w:rPr>
          <w:rStyle w:val="FootnoteReference"/>
          <w:lang w:val="en-AU"/>
        </w:rPr>
        <w:footnoteReference w:id="7"/>
      </w:r>
      <w:r w:rsidR="001F2548" w:rsidRPr="00E3754A">
        <w:rPr>
          <w:lang w:val="en-AU"/>
        </w:rPr>
        <w:t>; Batchelor et al., 2012</w:t>
      </w:r>
      <w:r w:rsidR="00FC7A83" w:rsidRPr="00E3754A">
        <w:rPr>
          <w:lang w:val="en-AU"/>
        </w:rPr>
        <w:t>; Dawson, 2015</w:t>
      </w:r>
      <w:r w:rsidRPr="00E3754A">
        <w:rPr>
          <w:lang w:val="en-AU"/>
        </w:rPr>
        <w:t>). In other words, it is argued that there is an ethical obligation to protect vulnerable persons (</w:t>
      </w:r>
      <w:r w:rsidRPr="00E3754A">
        <w:rPr>
          <w:i/>
          <w:lang w:val="en-AU"/>
        </w:rPr>
        <w:t>parens patriae</w:t>
      </w:r>
      <w:r w:rsidRPr="00E3754A">
        <w:rPr>
          <w:lang w:val="en-AU"/>
        </w:rPr>
        <w:t xml:space="preserve">), which is sufficient to deny a person legal agency under the law. In this sense, it is argued that not all persons reach a threshold of understanding to warrant granting them recognition of legal agency under the umbrella of ‘legal capacity’. </w:t>
      </w:r>
    </w:p>
    <w:tbl>
      <w:tblPr>
        <w:tblStyle w:val="Style1"/>
        <w:tblW w:w="0" w:type="auto"/>
        <w:tblLook w:val="04A0" w:firstRow="1" w:lastRow="0" w:firstColumn="1" w:lastColumn="0" w:noHBand="0" w:noVBand="1"/>
      </w:tblPr>
      <w:tblGrid>
        <w:gridCol w:w="9236"/>
      </w:tblGrid>
      <w:tr w:rsidR="00CE2A10" w:rsidRPr="00E3754A" w14:paraId="131AC87F" w14:textId="77777777" w:rsidTr="00F03B1E">
        <w:tc>
          <w:tcPr>
            <w:tcW w:w="9236" w:type="dxa"/>
          </w:tcPr>
          <w:p w14:paraId="5A734494" w14:textId="5A3D8996" w:rsidR="00CE2A10" w:rsidRPr="00E3754A" w:rsidRDefault="00CE2A10" w:rsidP="00176BE0">
            <w:pPr>
              <w:pStyle w:val="NoSpacing"/>
              <w:rPr>
                <w:lang w:val="en-AU"/>
              </w:rPr>
            </w:pPr>
            <w:r w:rsidRPr="00E3754A">
              <w:rPr>
                <w:rStyle w:val="Emphasis"/>
                <w:lang w:val="en-AU"/>
              </w:rPr>
              <w:t>Denmark</w:t>
            </w:r>
            <w:r w:rsidRPr="00E3754A">
              <w:rPr>
                <w:lang w:val="en-AU"/>
              </w:rPr>
              <w:t xml:space="preserve"> utili</w:t>
            </w:r>
            <w:r w:rsidR="009C3962" w:rsidRPr="00E3754A">
              <w:rPr>
                <w:lang w:val="en-AU"/>
              </w:rPr>
              <w:t>s</w:t>
            </w:r>
            <w:r w:rsidRPr="00E3754A">
              <w:rPr>
                <w:lang w:val="en-AU"/>
              </w:rPr>
              <w:t xml:space="preserve">es an idea entitled ‘legal </w:t>
            </w:r>
            <w:r w:rsidR="00C86CA8" w:rsidRPr="00E3754A">
              <w:rPr>
                <w:lang w:val="en-AU"/>
              </w:rPr>
              <w:t>disqualification</w:t>
            </w:r>
            <w:r w:rsidRPr="00E3754A">
              <w:rPr>
                <w:lang w:val="en-AU"/>
              </w:rPr>
              <w:t>’ whereby a person can be disqualified from being a legal agent under law, for example in cases w</w:t>
            </w:r>
            <w:r w:rsidR="006F4D7E" w:rsidRPr="00E3754A">
              <w:rPr>
                <w:lang w:val="en-AU"/>
              </w:rPr>
              <w:t>h</w:t>
            </w:r>
            <w:r w:rsidRPr="00E3754A">
              <w:rPr>
                <w:lang w:val="en-AU"/>
              </w:rPr>
              <w:t xml:space="preserve">ere they are putting their interests at risk or making themselves vulnerable to exploitation (Alzheimer Europe, 2011). This approach implies that legal agency can be disqualified but all persons have a non-derogable </w:t>
            </w:r>
            <w:r w:rsidR="00176BE0" w:rsidRPr="00E3754A">
              <w:rPr>
                <w:lang w:val="en-AU"/>
              </w:rPr>
              <w:t>right to legal capacity in the</w:t>
            </w:r>
            <w:r w:rsidRPr="00E3754A">
              <w:rPr>
                <w:lang w:val="en-AU"/>
              </w:rPr>
              <w:t xml:space="preserve"> partial sense</w:t>
            </w:r>
            <w:r w:rsidR="00176BE0" w:rsidRPr="00E3754A">
              <w:rPr>
                <w:lang w:val="en-AU"/>
              </w:rPr>
              <w:t xml:space="preserve"> and</w:t>
            </w:r>
            <w:r w:rsidRPr="00E3754A">
              <w:rPr>
                <w:lang w:val="en-AU"/>
              </w:rPr>
              <w:t xml:space="preserve"> that ‘partial sense’ encompass</w:t>
            </w:r>
            <w:r w:rsidR="00176BE0" w:rsidRPr="00E3754A">
              <w:rPr>
                <w:lang w:val="en-AU"/>
              </w:rPr>
              <w:t>es</w:t>
            </w:r>
            <w:r w:rsidRPr="00E3754A">
              <w:rPr>
                <w:lang w:val="en-AU"/>
              </w:rPr>
              <w:t xml:space="preserve"> legal standing.</w:t>
            </w:r>
            <w:r w:rsidR="00E1354E" w:rsidRPr="00E3754A">
              <w:rPr>
                <w:rStyle w:val="FootnoteReference"/>
                <w:lang w:val="en-AU"/>
              </w:rPr>
              <w:footnoteReference w:id="8"/>
            </w:r>
          </w:p>
        </w:tc>
      </w:tr>
    </w:tbl>
    <w:p w14:paraId="058A64BE" w14:textId="292A15D0" w:rsidR="00CE2A10" w:rsidRPr="00E3754A" w:rsidRDefault="00CE2A10" w:rsidP="00CE2A10">
      <w:pPr>
        <w:pStyle w:val="NoSpacing"/>
        <w:rPr>
          <w:lang w:val="en-AU"/>
        </w:rPr>
      </w:pPr>
      <w:r w:rsidRPr="00E3754A">
        <w:rPr>
          <w:lang w:val="en-AU"/>
        </w:rPr>
        <w:t xml:space="preserve">On the other side of the debate, authors explore how the recognition of both legal standing and agency under the umbrella concept of legal capacity is consistent with the purpose and spirit of the Convention and the General Comment (Gooding, 2013). Those who object to the continuation of disqualifications and caveats in the Convention era perceive that requiring a threshold to be met for </w:t>
      </w:r>
      <w:r w:rsidRPr="00E3754A">
        <w:rPr>
          <w:i/>
          <w:lang w:val="en-AU"/>
        </w:rPr>
        <w:t>legal agency</w:t>
      </w:r>
      <w:r w:rsidRPr="00E3754A">
        <w:rPr>
          <w:lang w:val="en-AU"/>
        </w:rPr>
        <w:t xml:space="preserve"> is equivalent </w:t>
      </w:r>
      <w:r w:rsidR="005267E9" w:rsidRPr="00E3754A">
        <w:rPr>
          <w:lang w:val="en-AU"/>
        </w:rPr>
        <w:t xml:space="preserve">to </w:t>
      </w:r>
      <w:r w:rsidRPr="00E3754A">
        <w:rPr>
          <w:lang w:val="en-AU"/>
        </w:rPr>
        <w:t xml:space="preserve">requiring a threshold to be met for </w:t>
      </w:r>
      <w:r w:rsidRPr="00E3754A">
        <w:rPr>
          <w:i/>
          <w:lang w:val="en-AU"/>
        </w:rPr>
        <w:t>legal capacity</w:t>
      </w:r>
      <w:r w:rsidRPr="00E3754A">
        <w:rPr>
          <w:lang w:val="en-AU"/>
        </w:rPr>
        <w:t xml:space="preserve">. It is argued that continuing to deny groups recognition under law, whether it be for legal capacity or legal agency, constitutes discrimination on the premise that some groups are less deserving of legal recognition (Flynn &amp; Arstein-Kerslake, 2014). Therefore, affording legal status but not agency to disabled people is inconsistent with the </w:t>
      </w:r>
      <w:r w:rsidR="003F6523" w:rsidRPr="00E3754A">
        <w:rPr>
          <w:lang w:val="en-AU"/>
        </w:rPr>
        <w:t xml:space="preserve">intention </w:t>
      </w:r>
      <w:r w:rsidRPr="00E3754A">
        <w:rPr>
          <w:lang w:val="en-AU"/>
        </w:rPr>
        <w:t>of the Convention.</w:t>
      </w:r>
    </w:p>
    <w:tbl>
      <w:tblPr>
        <w:tblStyle w:val="Style5"/>
        <w:tblW w:w="5000" w:type="pct"/>
        <w:tblLook w:val="04A0" w:firstRow="1" w:lastRow="0" w:firstColumn="1" w:lastColumn="0" w:noHBand="0" w:noVBand="1"/>
      </w:tblPr>
      <w:tblGrid>
        <w:gridCol w:w="9236"/>
      </w:tblGrid>
      <w:tr w:rsidR="00CE2A10" w:rsidRPr="00E3754A" w14:paraId="344AE081" w14:textId="77777777" w:rsidTr="001644B6">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29476DC5" w14:textId="494FB166" w:rsidR="00CE2A10" w:rsidRPr="00E3754A" w:rsidRDefault="00035851" w:rsidP="009679FA">
            <w:pPr>
              <w:pStyle w:val="Heading3"/>
              <w:rPr>
                <w:lang w:val="en-AU"/>
              </w:rPr>
            </w:pPr>
            <w:bookmarkStart w:id="40" w:name="_Toc337970283"/>
            <w:bookmarkStart w:id="41" w:name="_Toc339036849"/>
            <w:r w:rsidRPr="00E3754A">
              <w:rPr>
                <w:lang w:val="en-AU"/>
              </w:rPr>
              <w:t>What can obstruct</w:t>
            </w:r>
            <w:r w:rsidR="00E51DA9" w:rsidRPr="00E3754A">
              <w:rPr>
                <w:lang w:val="en-AU"/>
              </w:rPr>
              <w:t xml:space="preserve"> the realisation of a person’</w:t>
            </w:r>
            <w:r w:rsidR="00CE2A10" w:rsidRPr="00E3754A">
              <w:rPr>
                <w:lang w:val="en-AU"/>
              </w:rPr>
              <w:t>s legal capacity</w:t>
            </w:r>
            <w:r w:rsidRPr="00E3754A">
              <w:rPr>
                <w:lang w:val="en-AU"/>
              </w:rPr>
              <w:t>?</w:t>
            </w:r>
            <w:bookmarkEnd w:id="40"/>
            <w:bookmarkEnd w:id="41"/>
          </w:p>
        </w:tc>
      </w:tr>
    </w:tbl>
    <w:p w14:paraId="379388B5" w14:textId="746C7960" w:rsidR="00CE2A10" w:rsidRPr="00E3754A" w:rsidRDefault="00730C77" w:rsidP="00CE2A10">
      <w:pPr>
        <w:pStyle w:val="NoSpacing"/>
        <w:rPr>
          <w:lang w:val="en-AU"/>
        </w:rPr>
      </w:pPr>
      <w:r w:rsidRPr="00E3754A">
        <w:rPr>
          <w:lang w:val="en-AU"/>
        </w:rPr>
        <w:t xml:space="preserve">This section examines how disabled people can experience problems exercising their legal capacity under current jurisdictional and practical frameworks (which pertains to </w:t>
      </w:r>
      <w:r w:rsidR="006D545F" w:rsidRPr="00E3754A">
        <w:rPr>
          <w:lang w:val="en-AU"/>
        </w:rPr>
        <w:t xml:space="preserve">Question </w:t>
      </w:r>
      <w:r w:rsidRPr="00E3754A">
        <w:rPr>
          <w:lang w:val="en-AU"/>
        </w:rPr>
        <w:t xml:space="preserve">1, Appendix A) and how these problems </w:t>
      </w:r>
      <w:r w:rsidR="00D572B6" w:rsidRPr="00E3754A">
        <w:rPr>
          <w:lang w:val="en-AU"/>
        </w:rPr>
        <w:t>are based on a</w:t>
      </w:r>
      <w:r w:rsidRPr="00E3754A">
        <w:rPr>
          <w:lang w:val="en-AU"/>
        </w:rPr>
        <w:t xml:space="preserve"> favouring intervention and best interests considerations. </w:t>
      </w:r>
      <w:r w:rsidR="00CE2A10" w:rsidRPr="00E3754A">
        <w:rPr>
          <w:lang w:val="en-AU"/>
        </w:rPr>
        <w:t>The literature indicates that states parties have taken a number of steps to reinforce the notion of rights-based legal capacity, and a presumption of mental capacity (Arstein-Kerslake &amp; Flynn, 2015; Government of Australia, 2012; Government of Canada, 2015; Government of Sweden, 2012; Morrissey, 2012; Pathare and Shields, 2012). However, social perceptions of disability remain a clear obstacle to wide</w:t>
      </w:r>
      <w:r w:rsidR="00035851" w:rsidRPr="00E3754A">
        <w:rPr>
          <w:lang w:val="en-AU"/>
        </w:rPr>
        <w:t>-</w:t>
      </w:r>
      <w:r w:rsidR="00CE2A10" w:rsidRPr="00E3754A">
        <w:rPr>
          <w:lang w:val="en-AU"/>
        </w:rPr>
        <w:t xml:space="preserve">scale recognition of the right to exercise legal capacity (Werner, 2012; Chan, 2016; Watson, 2016a). Such social perceptions apply with negative consequences for many </w:t>
      </w:r>
      <w:r w:rsidR="00D91851" w:rsidRPr="00E3754A">
        <w:rPr>
          <w:lang w:val="en-AU"/>
        </w:rPr>
        <w:t>disabled people.</w:t>
      </w:r>
    </w:p>
    <w:p w14:paraId="31F06B69" w14:textId="00793D68" w:rsidR="00CE2A10" w:rsidRPr="00E3754A" w:rsidRDefault="00035851" w:rsidP="00CE2A10">
      <w:pPr>
        <w:pStyle w:val="NoSpacing"/>
        <w:rPr>
          <w:lang w:val="en-AU"/>
        </w:rPr>
      </w:pPr>
      <w:r w:rsidRPr="00E3754A">
        <w:rPr>
          <w:lang w:val="en-AU"/>
        </w:rPr>
        <w:t>Another</w:t>
      </w:r>
      <w:r w:rsidR="00CE2A10" w:rsidRPr="00E3754A">
        <w:rPr>
          <w:lang w:val="en-AU"/>
        </w:rPr>
        <w:t xml:space="preserve"> confounding factor </w:t>
      </w:r>
      <w:r w:rsidRPr="00E3754A">
        <w:rPr>
          <w:lang w:val="en-AU"/>
        </w:rPr>
        <w:t>relates to the diverse</w:t>
      </w:r>
      <w:r w:rsidR="00CE2A10" w:rsidRPr="00E3754A">
        <w:rPr>
          <w:lang w:val="en-AU"/>
        </w:rPr>
        <w:t xml:space="preserve"> ways in which states have attempted to interpret the provisions of the Convention to fit pre-existing </w:t>
      </w:r>
      <w:r w:rsidRPr="00E3754A">
        <w:rPr>
          <w:lang w:val="en-AU"/>
        </w:rPr>
        <w:t xml:space="preserve">understandings </w:t>
      </w:r>
      <w:r w:rsidR="00CE2A10" w:rsidRPr="00E3754A">
        <w:rPr>
          <w:lang w:val="en-AU"/>
        </w:rPr>
        <w:t xml:space="preserve">of supported and substitute decision-making, a move that has been roundly criticised by the Committee on the Rights of Persons with Disabilities (see Committee on the Rights of Persons with Disabilities, 2013; Committee on the Rights of Persons with Disabilities, 2014a; Committee on the Rights of Persons with Disabilities, 2014b; Committee on the Rights of Persons with Disabilities, 2014c; Minkowitz, 2013). For example, Australia and Canada are states parties that have explicitly retained the possibility of substitute decision-making in difficult exceptional cases despite implementing significant </w:t>
      </w:r>
      <w:r w:rsidRPr="00E3754A">
        <w:rPr>
          <w:lang w:val="en-AU"/>
        </w:rPr>
        <w:t>legislative and policy changes</w:t>
      </w:r>
      <w:r w:rsidR="00A343EB" w:rsidRPr="00E3754A">
        <w:rPr>
          <w:rStyle w:val="FootnoteReference"/>
          <w:lang w:val="en-AU"/>
        </w:rPr>
        <w:footnoteReference w:id="9"/>
      </w:r>
      <w:r w:rsidRPr="00E3754A">
        <w:rPr>
          <w:lang w:val="en-AU"/>
        </w:rPr>
        <w:t xml:space="preserve"> in an </w:t>
      </w:r>
      <w:r w:rsidR="00CE2A10" w:rsidRPr="00E3754A">
        <w:rPr>
          <w:lang w:val="en-AU"/>
        </w:rPr>
        <w:t>attempt</w:t>
      </w:r>
      <w:r w:rsidRPr="00E3754A">
        <w:rPr>
          <w:lang w:val="en-AU"/>
        </w:rPr>
        <w:t xml:space="preserve"> </w:t>
      </w:r>
      <w:r w:rsidR="00CE2A10" w:rsidRPr="00E3754A">
        <w:rPr>
          <w:lang w:val="en-AU"/>
        </w:rPr>
        <w:t xml:space="preserve">to align with the Convention (Carney, 2010; Davidson et al., 2016; Devi et al., 2011; “Australia’s Initial Report under the Convention”, 2010; Government of Canada, 2015; Watson, 2016a). At the more extreme end of the scale, other states parties have interpreted the Convention as permitting obviously coercive and discriminative substituted decision-making mechanisms. Tunisia, for example, noted </w:t>
      </w:r>
      <w:r w:rsidRPr="00E3754A">
        <w:rPr>
          <w:lang w:val="en-AU"/>
        </w:rPr>
        <w:t>an</w:t>
      </w:r>
      <w:r w:rsidR="00CE2A10" w:rsidRPr="00E3754A">
        <w:rPr>
          <w:lang w:val="en-AU"/>
        </w:rPr>
        <w:t xml:space="preserve"> intention to retain guardianship laws in cases of ‘insanity, mental impairment or profligacy’ (cited in Dinerstein, 2012), whilst Spain </w:t>
      </w:r>
      <w:r w:rsidRPr="00E3754A">
        <w:rPr>
          <w:lang w:val="en-AU"/>
        </w:rPr>
        <w:t>asserted</w:t>
      </w:r>
      <w:r w:rsidR="00CE2A10" w:rsidRPr="00E3754A">
        <w:rPr>
          <w:lang w:val="en-AU"/>
        </w:rPr>
        <w:t xml:space="preserve"> compliance with supported decision-making because provisions for guardianship wer</w:t>
      </w:r>
      <w:r w:rsidRPr="00E3754A">
        <w:rPr>
          <w:lang w:val="en-AU"/>
        </w:rPr>
        <w:t xml:space="preserve">e </w:t>
      </w:r>
      <w:r w:rsidR="00CE2A10" w:rsidRPr="00E3754A">
        <w:rPr>
          <w:lang w:val="en-AU"/>
        </w:rPr>
        <w:t>found on its statute (Dinerstein, 2012). Whilst these</w:t>
      </w:r>
      <w:r w:rsidRPr="00E3754A">
        <w:rPr>
          <w:lang w:val="en-AU"/>
        </w:rPr>
        <w:t xml:space="preserve"> </w:t>
      </w:r>
      <w:r w:rsidR="00CE2A10" w:rsidRPr="00E3754A">
        <w:rPr>
          <w:lang w:val="en-AU"/>
        </w:rPr>
        <w:t xml:space="preserve">two examples are inconsistent with the spirit of the Convention, they reflect the positions held by </w:t>
      </w:r>
      <w:r w:rsidR="00D808CE" w:rsidRPr="00E3754A">
        <w:rPr>
          <w:lang w:val="en-AU"/>
        </w:rPr>
        <w:t xml:space="preserve">some </w:t>
      </w:r>
      <w:r w:rsidR="00CE2A10" w:rsidRPr="00E3754A">
        <w:rPr>
          <w:lang w:val="en-AU"/>
        </w:rPr>
        <w:t>Convention commentators who perceive that the duty of care owed to vulnerable persons justifies the retention of substitute decision-making mechanisms within legislation</w:t>
      </w:r>
      <w:r w:rsidR="006860C6" w:rsidRPr="00E3754A">
        <w:rPr>
          <w:lang w:val="en-AU"/>
        </w:rPr>
        <w:t xml:space="preserve"> </w:t>
      </w:r>
      <w:r w:rsidR="006C6968" w:rsidRPr="00E3754A">
        <w:rPr>
          <w:lang w:val="en-AU"/>
        </w:rPr>
        <w:t>(</w:t>
      </w:r>
      <w:r w:rsidR="00510E4D" w:rsidRPr="00E3754A">
        <w:rPr>
          <w:lang w:val="en-AU"/>
        </w:rPr>
        <w:t>s</w:t>
      </w:r>
      <w:r w:rsidR="0073508F" w:rsidRPr="00E3754A">
        <w:rPr>
          <w:lang w:val="en-AU"/>
        </w:rPr>
        <w:t xml:space="preserve">ee </w:t>
      </w:r>
      <w:r w:rsidR="006C6968" w:rsidRPr="00E3754A">
        <w:rPr>
          <w:lang w:val="en-AU"/>
        </w:rPr>
        <w:t>for</w:t>
      </w:r>
      <w:r w:rsidR="006860C6" w:rsidRPr="00E3754A">
        <w:rPr>
          <w:lang w:val="en-AU"/>
        </w:rPr>
        <w:t xml:space="preserve"> example </w:t>
      </w:r>
      <w:r w:rsidR="00D808CE" w:rsidRPr="00E3754A">
        <w:rPr>
          <w:lang w:val="en-AU"/>
        </w:rPr>
        <w:t>Dawson</w:t>
      </w:r>
      <w:r w:rsidR="0073508F" w:rsidRPr="00E3754A">
        <w:rPr>
          <w:lang w:val="en-AU"/>
        </w:rPr>
        <w:t>,</w:t>
      </w:r>
      <w:r w:rsidR="00D808CE" w:rsidRPr="00E3754A">
        <w:rPr>
          <w:lang w:val="en-AU"/>
        </w:rPr>
        <w:t xml:space="preserve"> </w:t>
      </w:r>
      <w:r w:rsidR="0073508F" w:rsidRPr="00E3754A">
        <w:rPr>
          <w:lang w:val="en-AU"/>
        </w:rPr>
        <w:t>2015</w:t>
      </w:r>
      <w:r w:rsidR="00D808CE" w:rsidRPr="00E3754A">
        <w:rPr>
          <w:lang w:val="en-AU"/>
        </w:rPr>
        <w:t>)</w:t>
      </w:r>
      <w:r w:rsidR="00CE2A10" w:rsidRPr="00E3754A">
        <w:rPr>
          <w:lang w:val="en-AU"/>
        </w:rPr>
        <w:t>.</w:t>
      </w:r>
    </w:p>
    <w:p w14:paraId="1334FE02" w14:textId="7DF2DC0E" w:rsidR="00D1315A" w:rsidRPr="00E3754A" w:rsidRDefault="00CE2A10" w:rsidP="00CE2A10">
      <w:pPr>
        <w:pStyle w:val="NoSpacing"/>
        <w:rPr>
          <w:lang w:val="en-AU"/>
        </w:rPr>
      </w:pPr>
      <w:r w:rsidRPr="00E3754A">
        <w:rPr>
          <w:lang w:val="en-AU"/>
        </w:rPr>
        <w:t xml:space="preserve">As previously noted, the best interests concept has long been used as the basis for substitute decision-making, and </w:t>
      </w:r>
      <w:r w:rsidR="006860C6" w:rsidRPr="00E3754A">
        <w:rPr>
          <w:lang w:val="en-AU"/>
        </w:rPr>
        <w:t>other</w:t>
      </w:r>
      <w:r w:rsidR="00526D7B" w:rsidRPr="00E3754A">
        <w:rPr>
          <w:lang w:val="en-AU"/>
        </w:rPr>
        <w:t xml:space="preserve"> interventions </w:t>
      </w:r>
      <w:r w:rsidR="0073508F" w:rsidRPr="00E3754A">
        <w:rPr>
          <w:lang w:val="en-AU"/>
        </w:rPr>
        <w:t>that can</w:t>
      </w:r>
      <w:r w:rsidR="00526D7B" w:rsidRPr="00E3754A">
        <w:rPr>
          <w:lang w:val="en-AU"/>
        </w:rPr>
        <w:t xml:space="preserve"> obstruct</w:t>
      </w:r>
      <w:r w:rsidRPr="00E3754A">
        <w:rPr>
          <w:lang w:val="en-AU"/>
        </w:rPr>
        <w:t xml:space="preserve"> the realisation of legal capacity. The Convention and the associated General Comment, signals that such considerations are no longer acceptable, emphasising instead the imperative that person’s will and preference is prioritised. Nevertheless, it seems that many states (and commentators) remain wedded to the best interests concept, if only in difficult cases</w:t>
      </w:r>
      <w:r w:rsidR="009804E9" w:rsidRPr="00E3754A">
        <w:rPr>
          <w:lang w:val="en-AU"/>
        </w:rPr>
        <w:t xml:space="preserve">. </w:t>
      </w:r>
      <w:r w:rsidRPr="00E3754A">
        <w:rPr>
          <w:lang w:val="en-AU"/>
        </w:rPr>
        <w:t>In a recent report for the New Zealand Law Foundation, Douglass argued that best interests, as articulated in the Mental Capacity Act 2005 of England and Wales, should be a standard for decision-making in the New Zealand context (Douglass, 2016). Kelly (2015) also noted the general value of best interests considerations, with particular regard to the ways in which the concept helps to inform the practice of those caring for persons with disabilities, particularly parents caring for profoundly disabled children</w:t>
      </w:r>
      <w:r w:rsidR="000C79EA" w:rsidRPr="00E3754A">
        <w:rPr>
          <w:lang w:val="en-AU"/>
        </w:rPr>
        <w:t>.</w:t>
      </w:r>
      <w:r w:rsidR="00E84B4A" w:rsidRPr="00E3754A">
        <w:rPr>
          <w:lang w:val="en-AU"/>
        </w:rPr>
        <w:t xml:space="preserve"> </w:t>
      </w:r>
      <w:r w:rsidR="00C76340" w:rsidRPr="00E3754A">
        <w:rPr>
          <w:lang w:val="en-AU"/>
        </w:rPr>
        <w:t xml:space="preserve">Kohn et al. (2014) take a more absolutist position against best interests justifications on the basis that such approaches always undermine the human dignity of the person and the rationale is vulnerable to abuse (where disabled people become at risk of being denied legal agency </w:t>
      </w:r>
      <w:r w:rsidR="007A17D3" w:rsidRPr="00E3754A">
        <w:rPr>
          <w:lang w:val="en-AU"/>
        </w:rPr>
        <w:t>on the basis of</w:t>
      </w:r>
      <w:r w:rsidR="00C76340" w:rsidRPr="00E3754A">
        <w:rPr>
          <w:lang w:val="en-AU"/>
        </w:rPr>
        <w:t xml:space="preserve"> lower </w:t>
      </w:r>
      <w:r w:rsidR="00D17661" w:rsidRPr="00E3754A">
        <w:rPr>
          <w:lang w:val="en-AU"/>
        </w:rPr>
        <w:t xml:space="preserve">evidence </w:t>
      </w:r>
      <w:r w:rsidR="00C76340" w:rsidRPr="00E3754A">
        <w:rPr>
          <w:lang w:val="en-AU"/>
        </w:rPr>
        <w:t>thresholds).</w:t>
      </w:r>
      <w:r w:rsidRPr="00E3754A">
        <w:rPr>
          <w:lang w:val="en-AU"/>
        </w:rPr>
        <w:t xml:space="preserve"> The paradigm shift from the best interests concept to that of will and preferences is discussed in more depth below. </w:t>
      </w:r>
    </w:p>
    <w:p w14:paraId="4A4A8A24" w14:textId="77777777" w:rsidR="00D1315A" w:rsidRPr="00E3754A" w:rsidRDefault="00D1315A">
      <w:pPr>
        <w:spacing w:line="240" w:lineRule="auto"/>
        <w:jc w:val="left"/>
        <w:rPr>
          <w:lang w:val="en-AU"/>
        </w:rPr>
      </w:pPr>
      <w:r w:rsidRPr="00E3754A">
        <w:rPr>
          <w:lang w:val="en-AU"/>
        </w:rPr>
        <w:br w:type="page"/>
      </w:r>
    </w:p>
    <w:tbl>
      <w:tblPr>
        <w:tblStyle w:val="Style5"/>
        <w:tblW w:w="5000" w:type="pct"/>
        <w:tblLook w:val="04A0" w:firstRow="1" w:lastRow="0" w:firstColumn="1" w:lastColumn="0" w:noHBand="0" w:noVBand="1"/>
      </w:tblPr>
      <w:tblGrid>
        <w:gridCol w:w="9236"/>
      </w:tblGrid>
      <w:tr w:rsidR="00CE2A10" w:rsidRPr="00E3754A" w14:paraId="16532F03" w14:textId="77777777" w:rsidTr="00F03B1E">
        <w:tc>
          <w:tcPr>
            <w:tcW w:w="5000" w:type="pct"/>
          </w:tcPr>
          <w:p w14:paraId="73015CD4" w14:textId="2E7CEFDF" w:rsidR="00CE2A10" w:rsidRPr="00E3754A" w:rsidRDefault="00CE2A10">
            <w:pPr>
              <w:pStyle w:val="Heading1"/>
              <w:rPr>
                <w:lang w:val="en-AU"/>
              </w:rPr>
            </w:pPr>
            <w:bookmarkStart w:id="42" w:name="_Toc337970284"/>
            <w:bookmarkStart w:id="43" w:name="_Toc339036850"/>
            <w:r w:rsidRPr="00E3754A">
              <w:rPr>
                <w:lang w:val="en-AU"/>
              </w:rPr>
              <w:t>Paradigm shift from best interests to will and preference</w:t>
            </w:r>
            <w:bookmarkEnd w:id="42"/>
            <w:bookmarkEnd w:id="43"/>
          </w:p>
        </w:tc>
      </w:tr>
    </w:tbl>
    <w:p w14:paraId="103F36DF" w14:textId="4740263A" w:rsidR="00CE2A10" w:rsidRPr="00E3754A" w:rsidRDefault="006F4D7E" w:rsidP="00CE2A10">
      <w:pPr>
        <w:pStyle w:val="NoSpacing"/>
        <w:rPr>
          <w:lang w:val="en-AU"/>
        </w:rPr>
      </w:pPr>
      <w:r w:rsidRPr="00E3754A">
        <w:rPr>
          <w:lang w:val="en-AU"/>
        </w:rPr>
        <w:t xml:space="preserve">This section explores the discussion in the literature that pertains to the paradigm </w:t>
      </w:r>
      <w:r w:rsidR="008623EA" w:rsidRPr="00E3754A">
        <w:rPr>
          <w:lang w:val="en-AU"/>
        </w:rPr>
        <w:t>shift from best interests considerations to the centrality of will and preference</w:t>
      </w:r>
      <w:r w:rsidR="000C79EA" w:rsidRPr="00E3754A">
        <w:rPr>
          <w:lang w:val="en-AU"/>
        </w:rPr>
        <w:t xml:space="preserve"> and </w:t>
      </w:r>
      <w:r w:rsidR="008623EA" w:rsidRPr="00E3754A">
        <w:rPr>
          <w:lang w:val="en-AU"/>
        </w:rPr>
        <w:t xml:space="preserve">specifically </w:t>
      </w:r>
      <w:r w:rsidR="000C79EA" w:rsidRPr="00E3754A">
        <w:rPr>
          <w:lang w:val="en-AU"/>
        </w:rPr>
        <w:t>addresses</w:t>
      </w:r>
      <w:r w:rsidR="008C0686" w:rsidRPr="00E3754A">
        <w:rPr>
          <w:lang w:val="en-AU"/>
        </w:rPr>
        <w:t xml:space="preserve"> </w:t>
      </w:r>
      <w:r w:rsidR="006D545F" w:rsidRPr="00E3754A">
        <w:rPr>
          <w:lang w:val="en-AU"/>
        </w:rPr>
        <w:t xml:space="preserve">Question </w:t>
      </w:r>
      <w:r w:rsidR="008623EA" w:rsidRPr="00E3754A">
        <w:rPr>
          <w:lang w:val="en-AU"/>
        </w:rPr>
        <w:t>7 of Appendix A</w:t>
      </w:r>
      <w:r w:rsidR="000C79EA" w:rsidRPr="00E3754A">
        <w:rPr>
          <w:lang w:val="en-AU"/>
        </w:rPr>
        <w:t>:</w:t>
      </w:r>
      <w:r w:rsidR="008623EA" w:rsidRPr="00E3754A">
        <w:rPr>
          <w:lang w:val="en-AU"/>
        </w:rPr>
        <w:t xml:space="preserve"> “Has there been any discussion or change to transition or move from consideration of a person’s ‘best interests’ to a person’s ‘rights, will and preference’ in the context of disabled people exercising their legal capacity?”. </w:t>
      </w:r>
      <w:r w:rsidR="00CE2A10" w:rsidRPr="00E3754A">
        <w:rPr>
          <w:lang w:val="en-AU"/>
        </w:rPr>
        <w:t>In implementing a shift in framework</w:t>
      </w:r>
      <w:r w:rsidR="0073508F" w:rsidRPr="00E3754A">
        <w:rPr>
          <w:lang w:val="en-AU"/>
        </w:rPr>
        <w:t xml:space="preserve"> from substitute</w:t>
      </w:r>
      <w:r w:rsidR="00CE2A10" w:rsidRPr="00E3754A">
        <w:rPr>
          <w:lang w:val="en-AU"/>
        </w:rPr>
        <w:t xml:space="preserve"> to supported decision-making, it is </w:t>
      </w:r>
      <w:r w:rsidR="000C79EA" w:rsidRPr="00E3754A">
        <w:rPr>
          <w:lang w:val="en-AU"/>
        </w:rPr>
        <w:t xml:space="preserve">seen as </w:t>
      </w:r>
      <w:r w:rsidR="00CE2A10" w:rsidRPr="00E3754A">
        <w:rPr>
          <w:lang w:val="en-AU"/>
        </w:rPr>
        <w:t>critical that the ‘will and preferences’ paradigm should replace the ‘best interests’ principle (</w:t>
      </w:r>
      <w:r w:rsidR="002738DF">
        <w:rPr>
          <w:lang w:val="en-AU"/>
        </w:rPr>
        <w:t xml:space="preserve">see </w:t>
      </w:r>
      <w:r w:rsidR="00E42769">
        <w:rPr>
          <w:lang w:val="en-AU"/>
        </w:rPr>
        <w:t xml:space="preserve">General Comment No. 1 and, </w:t>
      </w:r>
      <w:r w:rsidR="002738DF">
        <w:rPr>
          <w:lang w:val="en-AU"/>
        </w:rPr>
        <w:t>for example</w:t>
      </w:r>
      <w:r w:rsidR="00E42769">
        <w:rPr>
          <w:lang w:val="en-AU"/>
        </w:rPr>
        <w:t>,</w:t>
      </w:r>
      <w:r w:rsidR="002738DF">
        <w:rPr>
          <w:lang w:val="en-AU"/>
        </w:rPr>
        <w:t xml:space="preserve"> </w:t>
      </w:r>
      <w:r w:rsidR="00743A85">
        <w:rPr>
          <w:lang w:val="en-AU"/>
        </w:rPr>
        <w:t xml:space="preserve">Ciavano, 2015; </w:t>
      </w:r>
      <w:r w:rsidR="00CE2A10" w:rsidRPr="00E3754A">
        <w:rPr>
          <w:lang w:val="en-AU"/>
        </w:rPr>
        <w:t xml:space="preserve">Dickey, 2016; </w:t>
      </w:r>
      <w:r w:rsidR="002738DF">
        <w:rPr>
          <w:lang w:val="en-AU"/>
        </w:rPr>
        <w:t xml:space="preserve">Keeling, 2016; </w:t>
      </w:r>
      <w:r w:rsidR="00743A85">
        <w:rPr>
          <w:lang w:val="en-AU"/>
        </w:rPr>
        <w:t xml:space="preserve">Martin et al., 2014; Stavert, 2015; Series, 2015; </w:t>
      </w:r>
      <w:r w:rsidR="00CE2A10" w:rsidRPr="00E3754A">
        <w:rPr>
          <w:lang w:val="en-AU"/>
        </w:rPr>
        <w:t xml:space="preserve">Watson, 2016a), and be applied in all decision-making contexts, including criminal and contract law, residential choices, and other areas </w:t>
      </w:r>
      <w:r w:rsidR="00D808CE" w:rsidRPr="00E3754A">
        <w:rPr>
          <w:lang w:val="en-AU"/>
        </w:rPr>
        <w:t>of life</w:t>
      </w:r>
      <w:r w:rsidR="00CE2A10" w:rsidRPr="00E3754A">
        <w:rPr>
          <w:lang w:val="en-AU"/>
        </w:rPr>
        <w:t xml:space="preserve"> (Davidson et al., 2016)</w:t>
      </w:r>
      <w:r w:rsidR="002D46E3" w:rsidRPr="00E3754A">
        <w:rPr>
          <w:lang w:val="en-AU"/>
        </w:rPr>
        <w:t>, as mentioned earlier</w:t>
      </w:r>
      <w:r w:rsidR="00CE2A10" w:rsidRPr="00E3754A">
        <w:rPr>
          <w:lang w:val="en-AU"/>
        </w:rPr>
        <w:t>.</w:t>
      </w:r>
      <w:r w:rsidR="00743A85">
        <w:rPr>
          <w:lang w:val="en-AU"/>
        </w:rPr>
        <w:t xml:space="preserve"> </w:t>
      </w:r>
      <w:r w:rsidR="00290A9D">
        <w:rPr>
          <w:lang w:val="en-AU"/>
        </w:rPr>
        <w:t xml:space="preserve">A significant body of literature argues that </w:t>
      </w:r>
      <w:r w:rsidR="00290A9D">
        <w:t>w</w:t>
      </w:r>
      <w:r w:rsidR="00A67E9A">
        <w:t>ill and preference</w:t>
      </w:r>
      <w:r w:rsidR="00290A9D">
        <w:t xml:space="preserve"> </w:t>
      </w:r>
      <w:r w:rsidR="00A67E9A">
        <w:t xml:space="preserve">should be the </w:t>
      </w:r>
      <w:r w:rsidR="00A67E9A" w:rsidRPr="00225FF4">
        <w:rPr>
          <w:i/>
        </w:rPr>
        <w:t>central</w:t>
      </w:r>
      <w:r w:rsidR="00A67E9A" w:rsidRPr="00F97FBA">
        <w:t xml:space="preserve"> and </w:t>
      </w:r>
      <w:r w:rsidR="00A67E9A">
        <w:t>determining factor of</w:t>
      </w:r>
      <w:r w:rsidR="00A67E9A" w:rsidRPr="00F97FBA">
        <w:t xml:space="preserve"> any decision-making process</w:t>
      </w:r>
      <w:r w:rsidR="00A67E9A">
        <w:t xml:space="preserve"> that is </w:t>
      </w:r>
      <w:r w:rsidR="00290A9D">
        <w:t xml:space="preserve">seeking to be </w:t>
      </w:r>
      <w:r w:rsidR="00A67E9A">
        <w:t>consistent with Article 12 and the Convention</w:t>
      </w:r>
      <w:r w:rsidR="00A67E9A" w:rsidRPr="00F97FBA">
        <w:t xml:space="preserve"> (</w:t>
      </w:r>
      <w:r w:rsidR="00A67E9A">
        <w:t xml:space="preserve">see </w:t>
      </w:r>
      <w:r w:rsidR="00A67E9A" w:rsidRPr="00F97FBA">
        <w:t>Keeling, 2016; Serie</w:t>
      </w:r>
      <w:r w:rsidR="00A67E9A">
        <w:t xml:space="preserve">s, 2015; Watson, 2016a). </w:t>
      </w:r>
      <w:r w:rsidR="00743A85">
        <w:t>A</w:t>
      </w:r>
      <w:r w:rsidR="00743A85" w:rsidRPr="00743A85">
        <w:t>lthough third parties</w:t>
      </w:r>
      <w:r w:rsidR="00395E9D">
        <w:t xml:space="preserve"> involved in substituted decision-making contexts</w:t>
      </w:r>
      <w:r w:rsidR="00743A85" w:rsidRPr="00743A85">
        <w:t xml:space="preserve"> may take a disabled person’s will and preferences into consideration, a disabled person’s will and preferences are not central to the process </w:t>
      </w:r>
      <w:r w:rsidR="00743A85">
        <w:t xml:space="preserve">as the </w:t>
      </w:r>
      <w:r w:rsidR="00743A85" w:rsidRPr="00225FF4">
        <w:rPr>
          <w:rStyle w:val="SubtleEmphasis"/>
        </w:rPr>
        <w:t>determining</w:t>
      </w:r>
      <w:r w:rsidR="00743A85">
        <w:t xml:space="preserve"> factor </w:t>
      </w:r>
      <w:r w:rsidR="00395E9D">
        <w:t>as is required by the</w:t>
      </w:r>
      <w:r w:rsidR="00743A85" w:rsidRPr="00743A85">
        <w:t xml:space="preserve"> Convention (Ciavano, 2014; Martin</w:t>
      </w:r>
      <w:r w:rsidR="00743A85">
        <w:t xml:space="preserve"> et al.</w:t>
      </w:r>
      <w:r w:rsidR="00743A85" w:rsidRPr="00743A85">
        <w:t>, 2014; Stavert, 2015).</w:t>
      </w:r>
      <w:r w:rsidR="00743A85">
        <w:t xml:space="preserve"> </w:t>
      </w:r>
      <w:r w:rsidR="006721A8">
        <w:t>According</w:t>
      </w:r>
      <w:r w:rsidR="00743A85">
        <w:t xml:space="preserve"> to </w:t>
      </w:r>
      <w:r w:rsidR="006721A8">
        <w:t>this</w:t>
      </w:r>
      <w:r w:rsidR="00743A85">
        <w:t xml:space="preserve"> interpretation </w:t>
      </w:r>
      <w:r w:rsidR="00395E9D">
        <w:t>of the</w:t>
      </w:r>
      <w:r w:rsidR="00743A85">
        <w:t xml:space="preserve"> obligations and spirit of the Convention, frameworks</w:t>
      </w:r>
      <w:r w:rsidR="008A66A9">
        <w:t xml:space="preserve"> that rely on best </w:t>
      </w:r>
      <w:r w:rsidR="00743A85">
        <w:t>interests models do not give effect to the Convention</w:t>
      </w:r>
      <w:r w:rsidR="00E42769">
        <w:t>, by virtue of their reliance on best interests</w:t>
      </w:r>
      <w:r w:rsidR="008A66A9">
        <w:t>,</w:t>
      </w:r>
      <w:r w:rsidR="00E42769">
        <w:t xml:space="preserve"> regardless of their secondary consideration of will and preference</w:t>
      </w:r>
      <w:r w:rsidR="006721A8">
        <w:t xml:space="preserve">. </w:t>
      </w:r>
      <w:r w:rsidR="00395E9D">
        <w:t>Despite this</w:t>
      </w:r>
      <w:r w:rsidR="006721A8">
        <w:t xml:space="preserve">, </w:t>
      </w:r>
      <w:r w:rsidR="00395E9D">
        <w:t xml:space="preserve">there have been </w:t>
      </w:r>
      <w:r w:rsidR="006721A8">
        <w:t xml:space="preserve">efforts made by states parties to adjust </w:t>
      </w:r>
      <w:r w:rsidR="00490077">
        <w:t>exis</w:t>
      </w:r>
      <w:r w:rsidR="00395E9D">
        <w:t xml:space="preserve">ting </w:t>
      </w:r>
      <w:r w:rsidR="006721A8">
        <w:t xml:space="preserve">best interests models (as has been done in </w:t>
      </w:r>
      <w:r w:rsidR="006721A8" w:rsidRPr="00E3754A">
        <w:rPr>
          <w:lang w:val="en-AU"/>
        </w:rPr>
        <w:t>England and Wales</w:t>
      </w:r>
      <w:r w:rsidR="006721A8">
        <w:rPr>
          <w:lang w:val="en-AU"/>
        </w:rPr>
        <w:t xml:space="preserve"> with the implementation of the best interests checklist</w:t>
      </w:r>
      <w:r w:rsidR="00E42769">
        <w:rPr>
          <w:lang w:val="en-AU"/>
        </w:rPr>
        <w:t>,</w:t>
      </w:r>
      <w:r w:rsidR="006721A8">
        <w:rPr>
          <w:lang w:val="en-AU"/>
        </w:rPr>
        <w:t xml:space="preserve"> </w:t>
      </w:r>
      <w:r w:rsidR="006721A8" w:rsidRPr="00E3754A">
        <w:rPr>
          <w:lang w:val="en-AU"/>
        </w:rPr>
        <w:t>Mental Capacity Act 2005</w:t>
      </w:r>
      <w:r w:rsidR="006721A8">
        <w:rPr>
          <w:lang w:val="en-AU"/>
        </w:rPr>
        <w:t>)</w:t>
      </w:r>
      <w:r w:rsidR="006721A8">
        <w:t xml:space="preserve"> and proposals to implement</w:t>
      </w:r>
      <w:r w:rsidR="00E42769">
        <w:t xml:space="preserve"> </w:t>
      </w:r>
      <w:r w:rsidR="00395E9D">
        <w:t xml:space="preserve">new </w:t>
      </w:r>
      <w:r w:rsidR="006721A8">
        <w:t xml:space="preserve">best interest decision-making measures (as </w:t>
      </w:r>
      <w:r w:rsidR="00016FC0">
        <w:t>forwarded</w:t>
      </w:r>
      <w:r w:rsidR="006721A8">
        <w:t xml:space="preserve"> by Douglass</w:t>
      </w:r>
      <w:r w:rsidR="00E42769">
        <w:t xml:space="preserve"> et al., 2016)</w:t>
      </w:r>
      <w:r w:rsidR="00395E9D">
        <w:t xml:space="preserve">. </w:t>
      </w:r>
    </w:p>
    <w:p w14:paraId="6428C600" w14:textId="287B7BA7" w:rsidR="00CE2A10" w:rsidRPr="00E3754A" w:rsidRDefault="000C79EA" w:rsidP="00CE2A10">
      <w:pPr>
        <w:pStyle w:val="NoSpacing"/>
        <w:rPr>
          <w:lang w:val="en-AU"/>
        </w:rPr>
      </w:pPr>
      <w:r w:rsidRPr="00E3754A">
        <w:rPr>
          <w:lang w:val="en-AU"/>
        </w:rPr>
        <w:t xml:space="preserve">As previously noted, a </w:t>
      </w:r>
      <w:r w:rsidR="00CE2A10" w:rsidRPr="00E3754A">
        <w:rPr>
          <w:lang w:val="en-AU"/>
        </w:rPr>
        <w:t>commitment t</w:t>
      </w:r>
      <w:r w:rsidR="00D808CE" w:rsidRPr="00E3754A">
        <w:rPr>
          <w:lang w:val="en-AU"/>
        </w:rPr>
        <w:t>o</w:t>
      </w:r>
      <w:r w:rsidR="00CE2A10" w:rsidRPr="00E3754A">
        <w:rPr>
          <w:lang w:val="en-AU"/>
        </w:rPr>
        <w:t xml:space="preserve"> </w:t>
      </w:r>
      <w:r w:rsidR="00D808CE" w:rsidRPr="00E3754A">
        <w:rPr>
          <w:lang w:val="en-AU"/>
        </w:rPr>
        <w:t xml:space="preserve">the </w:t>
      </w:r>
      <w:r w:rsidR="00CE2A10" w:rsidRPr="00E3754A">
        <w:rPr>
          <w:lang w:val="en-AU"/>
        </w:rPr>
        <w:t>will and preference paradigm places all persons on an equal footing in terms of their right to make self-determin</w:t>
      </w:r>
      <w:r w:rsidR="00D91851" w:rsidRPr="00E3754A">
        <w:rPr>
          <w:lang w:val="en-AU"/>
        </w:rPr>
        <w:t>ed</w:t>
      </w:r>
      <w:r w:rsidR="00CE2A10" w:rsidRPr="00E3754A">
        <w:rPr>
          <w:lang w:val="en-AU"/>
        </w:rPr>
        <w:t xml:space="preserve"> choices irrespective of the</w:t>
      </w:r>
      <w:r w:rsidR="00290A9D">
        <w:rPr>
          <w:lang w:val="en-AU"/>
        </w:rPr>
        <w:t xml:space="preserve"> perceived</w:t>
      </w:r>
      <w:r w:rsidR="00CE2A10" w:rsidRPr="00E3754A">
        <w:rPr>
          <w:lang w:val="en-AU"/>
        </w:rPr>
        <w:t xml:space="preserve"> wisdom</w:t>
      </w:r>
      <w:r w:rsidR="00016FC0">
        <w:rPr>
          <w:lang w:val="en-AU"/>
        </w:rPr>
        <w:t xml:space="preserve"> of those choices</w:t>
      </w:r>
      <w:r w:rsidR="00CE2A10" w:rsidRPr="00E3754A">
        <w:rPr>
          <w:lang w:val="en-AU"/>
        </w:rPr>
        <w:t xml:space="preserve">, or whether </w:t>
      </w:r>
      <w:r w:rsidR="00016FC0">
        <w:rPr>
          <w:lang w:val="en-AU"/>
        </w:rPr>
        <w:t>they</w:t>
      </w:r>
      <w:r w:rsidR="00CE2A10" w:rsidRPr="00E3754A">
        <w:rPr>
          <w:lang w:val="en-AU"/>
        </w:rPr>
        <w:t xml:space="preserve"> accord with previously held interests and values</w:t>
      </w:r>
      <w:r w:rsidR="009804E9" w:rsidRPr="00E3754A">
        <w:rPr>
          <w:lang w:val="en-AU"/>
        </w:rPr>
        <w:t xml:space="preserve">. </w:t>
      </w:r>
      <w:r w:rsidR="00CE2A10" w:rsidRPr="00E3754A">
        <w:rPr>
          <w:lang w:val="en-AU"/>
        </w:rPr>
        <w:t xml:space="preserve">In response, some states have taken steps to review their legislative provisions to replace best interests </w:t>
      </w:r>
      <w:r w:rsidR="005A3B7D">
        <w:rPr>
          <w:lang w:val="en-AU"/>
        </w:rPr>
        <w:t>models</w:t>
      </w:r>
      <w:r w:rsidR="005A3B7D" w:rsidRPr="00E3754A">
        <w:rPr>
          <w:lang w:val="en-AU"/>
        </w:rPr>
        <w:t xml:space="preserve"> </w:t>
      </w:r>
      <w:r w:rsidR="00CE2A10" w:rsidRPr="00E3754A">
        <w:rPr>
          <w:lang w:val="en-AU"/>
        </w:rPr>
        <w:t xml:space="preserve">with </w:t>
      </w:r>
      <w:r w:rsidR="005A3B7D">
        <w:rPr>
          <w:lang w:val="en-AU"/>
        </w:rPr>
        <w:t>the centrality</w:t>
      </w:r>
      <w:r w:rsidR="00CE2A10" w:rsidRPr="00E3754A">
        <w:rPr>
          <w:lang w:val="en-AU"/>
        </w:rPr>
        <w:t xml:space="preserve"> of will and preference</w:t>
      </w:r>
      <w:r w:rsidR="00D808CE" w:rsidRPr="00E3754A">
        <w:rPr>
          <w:lang w:val="en-AU"/>
        </w:rPr>
        <w:t>. Some of these states parties, as illustrated below</w:t>
      </w:r>
      <w:r w:rsidR="00820F87" w:rsidRPr="00E3754A">
        <w:rPr>
          <w:lang w:val="en-AU"/>
        </w:rPr>
        <w:t>,</w:t>
      </w:r>
      <w:r w:rsidR="00D808CE" w:rsidRPr="00E3754A">
        <w:rPr>
          <w:lang w:val="en-AU"/>
        </w:rPr>
        <w:t xml:space="preserve"> have done so in only a limited way. </w:t>
      </w:r>
    </w:p>
    <w:tbl>
      <w:tblPr>
        <w:tblStyle w:val="Style1"/>
        <w:tblW w:w="0" w:type="auto"/>
        <w:tblLook w:val="04A0" w:firstRow="1" w:lastRow="0" w:firstColumn="1" w:lastColumn="0" w:noHBand="0" w:noVBand="1"/>
      </w:tblPr>
      <w:tblGrid>
        <w:gridCol w:w="9236"/>
      </w:tblGrid>
      <w:tr w:rsidR="00CE2A10" w:rsidRPr="00E3754A" w14:paraId="542A5C22" w14:textId="77777777" w:rsidTr="00F03B1E">
        <w:tc>
          <w:tcPr>
            <w:tcW w:w="9236" w:type="dxa"/>
          </w:tcPr>
          <w:p w14:paraId="0B40E8A9" w14:textId="0053A5D8" w:rsidR="00CE2A10" w:rsidRPr="00E3754A" w:rsidRDefault="00CE2A10" w:rsidP="00F03B1E">
            <w:pPr>
              <w:pStyle w:val="NoSpacing"/>
              <w:rPr>
                <w:lang w:val="en-AU"/>
              </w:rPr>
            </w:pPr>
            <w:r w:rsidRPr="00E3754A">
              <w:rPr>
                <w:rStyle w:val="Emphasis"/>
                <w:lang w:val="en-AU"/>
              </w:rPr>
              <w:t>Ireland</w:t>
            </w:r>
            <w:r w:rsidRPr="00E3754A">
              <w:rPr>
                <w:lang w:val="en-AU"/>
              </w:rPr>
              <w:t xml:space="preserve"> has begun the process of reforming its Mental Health Act 2001 to exclude considerations of best practice</w:t>
            </w:r>
            <w:r w:rsidR="00D808CE" w:rsidRPr="00E3754A">
              <w:rPr>
                <w:lang w:val="en-AU"/>
              </w:rPr>
              <w:t>,</w:t>
            </w:r>
            <w:r w:rsidRPr="00E3754A">
              <w:rPr>
                <w:lang w:val="en-AU"/>
              </w:rPr>
              <w:t xml:space="preserve"> which due to the requirement to ensure legal parity between Northern Ireland and Eire, will also require a change in the Mental Capacity legislation in the North</w:t>
            </w:r>
            <w:r w:rsidR="009804E9" w:rsidRPr="00E3754A">
              <w:rPr>
                <w:lang w:val="en-AU"/>
              </w:rPr>
              <w:t xml:space="preserve">. </w:t>
            </w:r>
            <w:r w:rsidRPr="00E3754A">
              <w:rPr>
                <w:lang w:val="en-AU"/>
              </w:rPr>
              <w:t xml:space="preserve">In particular, the Irish Bill rejects the idea that will and preference </w:t>
            </w:r>
            <w:r w:rsidR="00D808CE" w:rsidRPr="00E3754A">
              <w:rPr>
                <w:lang w:val="en-AU"/>
              </w:rPr>
              <w:t>is</w:t>
            </w:r>
            <w:r w:rsidRPr="00E3754A">
              <w:rPr>
                <w:lang w:val="en-AU"/>
              </w:rPr>
              <w:t xml:space="preserve"> only one factor to consider in identifying ‘best interests’, specifying that those ‘intervening’ in respect of a person shall </w:t>
            </w:r>
            <w:r w:rsidR="00B8746A" w:rsidRPr="00E3754A">
              <w:rPr>
                <w:lang w:val="en-AU"/>
              </w:rPr>
              <w:t>“</w:t>
            </w:r>
            <w:r w:rsidRPr="00E3754A">
              <w:rPr>
                <w:lang w:val="en-AU"/>
              </w:rPr>
              <w:t>give effect, in so far as is practicable, to the past and present will and preferences of the relevant person, in so far as that will and those preferences are reasonably ascertainable</w:t>
            </w:r>
            <w:r w:rsidR="00B8746A" w:rsidRPr="00E3754A">
              <w:rPr>
                <w:lang w:val="en-AU"/>
              </w:rPr>
              <w:t>”</w:t>
            </w:r>
            <w:r w:rsidRPr="00E3754A">
              <w:rPr>
                <w:lang w:val="en-AU"/>
              </w:rPr>
              <w:t xml:space="preserve"> (MHA [Ire], s.8(7)(b)). </w:t>
            </w:r>
          </w:p>
        </w:tc>
      </w:tr>
      <w:tr w:rsidR="00A67E9A" w:rsidRPr="00E3754A" w14:paraId="2E8B3B0B" w14:textId="77777777" w:rsidTr="00A67E9A">
        <w:tc>
          <w:tcPr>
            <w:tcW w:w="9236" w:type="dxa"/>
          </w:tcPr>
          <w:p w14:paraId="10AAB448" w14:textId="67BF64B2" w:rsidR="00A67E9A" w:rsidRPr="00A67E9A" w:rsidRDefault="00A67E9A" w:rsidP="00A67E9A">
            <w:pPr>
              <w:pStyle w:val="NoSpacing"/>
              <w:rPr>
                <w:lang w:val="en-AU"/>
              </w:rPr>
            </w:pPr>
            <w:r w:rsidRPr="00225FF4">
              <w:rPr>
                <w:rStyle w:val="Emphasis"/>
              </w:rPr>
              <w:t>England and Wales</w:t>
            </w:r>
            <w:r w:rsidRPr="00A67E9A">
              <w:rPr>
                <w:lang w:val="en-AU"/>
              </w:rPr>
              <w:t xml:space="preserve"> had earlier signalled intent to remove the best interests provisions at Pt 4 of its Mental Capacity Act 2005 following recommendations in 2013 from the House of Lords Select Committee on the Mental Health Act (Kelly, 2015). Very recently, case law h</w:t>
            </w:r>
            <w:r w:rsidR="00F133CC">
              <w:rPr>
                <w:lang w:val="en-AU"/>
              </w:rPr>
              <w:t>as signalled a redefinition of best interests</w:t>
            </w:r>
            <w:r w:rsidRPr="00A67E9A">
              <w:rPr>
                <w:lang w:val="en-AU"/>
              </w:rPr>
              <w:t xml:space="preserve"> to emphasise the particularity of </w:t>
            </w:r>
            <w:r w:rsidR="00011765">
              <w:rPr>
                <w:lang w:val="en-AU"/>
              </w:rPr>
              <w:t>the</w:t>
            </w:r>
            <w:r w:rsidRPr="00A67E9A">
              <w:rPr>
                <w:lang w:val="en-AU"/>
              </w:rPr>
              <w:t xml:space="preserve"> interests</w:t>
            </w:r>
            <w:r w:rsidR="00011765">
              <w:rPr>
                <w:lang w:val="en-AU"/>
              </w:rPr>
              <w:t>, will and preference</w:t>
            </w:r>
            <w:r w:rsidRPr="00A67E9A">
              <w:rPr>
                <w:lang w:val="en-AU"/>
              </w:rPr>
              <w:t xml:space="preserve"> </w:t>
            </w:r>
            <w:r w:rsidR="00011765">
              <w:rPr>
                <w:lang w:val="en-AU"/>
              </w:rPr>
              <w:t>of</w:t>
            </w:r>
            <w:r w:rsidRPr="00A67E9A">
              <w:rPr>
                <w:lang w:val="en-AU"/>
              </w:rPr>
              <w:t xml:space="preserve"> the person concerned. In Wye Valley NHS Trust v Mr B [2015] EWCOP 60, Peter Jackson J ruled that a person’s express wishes must not be excluded </w:t>
            </w:r>
            <w:r w:rsidR="0051595D">
              <w:rPr>
                <w:lang w:val="en-AU"/>
              </w:rPr>
              <w:t xml:space="preserve">from consideration </w:t>
            </w:r>
            <w:r w:rsidRPr="00A67E9A">
              <w:rPr>
                <w:lang w:val="en-AU"/>
              </w:rPr>
              <w:t>simply on the basis that others did not think they were in their</w:t>
            </w:r>
            <w:r w:rsidR="00011765">
              <w:rPr>
                <w:lang w:val="en-AU"/>
              </w:rPr>
              <w:t xml:space="preserve"> best</w:t>
            </w:r>
            <w:r w:rsidRPr="00A67E9A">
              <w:rPr>
                <w:lang w:val="en-AU"/>
              </w:rPr>
              <w:t xml:space="preserve"> interest. In particular, he insisted that ‘best interests’ were those that related to that particular person; they were not, and must not, be the subject of determination by third parties. The practice implications, set out by prominent chambers 39 Essex Lane, are worth repeating in full:</w:t>
            </w:r>
          </w:p>
          <w:p w14:paraId="7FD2F350" w14:textId="77777777" w:rsidR="00A67E9A" w:rsidRPr="00A67E9A" w:rsidRDefault="00A67E9A" w:rsidP="00225FF4">
            <w:pPr>
              <w:pStyle w:val="Quote"/>
            </w:pPr>
            <w:r w:rsidRPr="00A67E9A">
              <w:t xml:space="preserve">Peter Jackson J has made clear just how far along we have come on the journey to recognising the dangers of treating capacity as a cliff-edge off which one falls into the clinging embrace of paternalism. The approach endorsed by Peter Jackson J to the construction of best interests decisions on behalf of those lacking capacity is one that is light years removed from the paternalistic model that still remains prevalent in so many settings. He sought to recognise Mr. B as an “individual human being”, echoing Lady Hale’s phrase from Aintree, and emphasised that “the wishes and feelings, beliefs and values of people with a mental disability are as important to them as they are to anyone else, and may even be more important.” </w:t>
            </w:r>
          </w:p>
          <w:p w14:paraId="169A0A56" w14:textId="2EB58741" w:rsidR="00A67E9A" w:rsidRPr="00E3754A" w:rsidRDefault="00A67E9A">
            <w:pPr>
              <w:pStyle w:val="NoSpacing"/>
              <w:rPr>
                <w:lang w:val="en-AU"/>
              </w:rPr>
            </w:pPr>
            <w:r w:rsidRPr="00A67E9A">
              <w:rPr>
                <w:lang w:val="en-AU"/>
              </w:rPr>
              <w:t xml:space="preserve">These are interesting departures from the standard interpretation of best interests as the justification for substitute decision-making. It seems possible, therefore, that England and Wales will retain a best interests clause within their legislation but that future interpretations may </w:t>
            </w:r>
            <w:r>
              <w:rPr>
                <w:lang w:val="en-AU"/>
              </w:rPr>
              <w:t>place more emphasis on</w:t>
            </w:r>
            <w:r w:rsidRPr="00A67E9A">
              <w:rPr>
                <w:lang w:val="en-AU"/>
              </w:rPr>
              <w:t xml:space="preserve"> the will and preference of the individual.</w:t>
            </w:r>
          </w:p>
        </w:tc>
      </w:tr>
    </w:tbl>
    <w:p w14:paraId="462F71FF" w14:textId="37A06DAC" w:rsidR="00CE2A10" w:rsidRPr="00E3754A" w:rsidRDefault="00CE2A10" w:rsidP="00CE2A10">
      <w:pPr>
        <w:pStyle w:val="NoSpacing"/>
        <w:rPr>
          <w:lang w:val="en-AU"/>
        </w:rPr>
      </w:pPr>
    </w:p>
    <w:tbl>
      <w:tblPr>
        <w:tblStyle w:val="Style5"/>
        <w:tblW w:w="5000" w:type="pct"/>
        <w:tblLook w:val="04A0" w:firstRow="1" w:lastRow="0" w:firstColumn="1" w:lastColumn="0" w:noHBand="0" w:noVBand="1"/>
      </w:tblPr>
      <w:tblGrid>
        <w:gridCol w:w="9236"/>
      </w:tblGrid>
      <w:tr w:rsidR="00CE2A10" w:rsidRPr="00E3754A" w14:paraId="0045D3AE" w14:textId="77777777" w:rsidTr="001644B6">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253513D0" w14:textId="77777777" w:rsidR="00CE2A10" w:rsidRPr="00E3754A" w:rsidRDefault="00CE2A10" w:rsidP="009679FA">
            <w:pPr>
              <w:pStyle w:val="Heading3"/>
              <w:rPr>
                <w:lang w:val="en-AU"/>
              </w:rPr>
            </w:pPr>
            <w:bookmarkStart w:id="44" w:name="_Toc337970285"/>
            <w:bookmarkStart w:id="45" w:name="_Toc339036851"/>
            <w:r w:rsidRPr="00E3754A">
              <w:rPr>
                <w:lang w:val="en-AU"/>
              </w:rPr>
              <w:t>Equal versus differential treatment under criminal law</w:t>
            </w:r>
            <w:bookmarkEnd w:id="44"/>
            <w:bookmarkEnd w:id="45"/>
          </w:p>
        </w:tc>
      </w:tr>
    </w:tbl>
    <w:p w14:paraId="11D667C5" w14:textId="5F642DB3" w:rsidR="00CE2A10" w:rsidRPr="00E3754A" w:rsidRDefault="00CE2A10" w:rsidP="00CE2A10">
      <w:pPr>
        <w:pStyle w:val="NoSpacing"/>
        <w:rPr>
          <w:lang w:val="en-AU"/>
        </w:rPr>
      </w:pPr>
      <w:r w:rsidRPr="00E3754A">
        <w:rPr>
          <w:lang w:val="en-AU"/>
        </w:rPr>
        <w:t xml:space="preserve">The paradigm shift in understanding capacity to a rights-based approach also impacts on criminal defences that are premised on recognising incapacity. Historically, persons have been permitted to be exempt from criminal responsibility on the basis of legal incapacity, such as the criminal defence of insanity (see Government of Norway, 2015). However, the literature argues that such </w:t>
      </w:r>
      <w:r w:rsidR="00526D7B" w:rsidRPr="00E3754A">
        <w:rPr>
          <w:lang w:val="en-AU"/>
        </w:rPr>
        <w:t>defences</w:t>
      </w:r>
      <w:r w:rsidRPr="00E3754A">
        <w:rPr>
          <w:lang w:val="en-AU"/>
        </w:rPr>
        <w:t xml:space="preserve"> are on the basis of cognitive impairment as a determining factor and therefore do not give effect to </w:t>
      </w:r>
      <w:r w:rsidR="00FA30D7" w:rsidRPr="00E3754A">
        <w:rPr>
          <w:lang w:val="en-AU"/>
        </w:rPr>
        <w:t>states parties</w:t>
      </w:r>
      <w:r w:rsidR="00C22019" w:rsidRPr="00E3754A">
        <w:rPr>
          <w:lang w:val="en-AU"/>
        </w:rPr>
        <w:t>’</w:t>
      </w:r>
      <w:r w:rsidRPr="00E3754A">
        <w:rPr>
          <w:lang w:val="en-AU"/>
        </w:rPr>
        <w:t xml:space="preserve"> obligations under the Convention (see WNUSP, 2008). </w:t>
      </w:r>
      <w:r w:rsidR="00376D60" w:rsidRPr="00E3754A">
        <w:rPr>
          <w:lang w:val="en-AU"/>
        </w:rPr>
        <w:t>I</w:t>
      </w:r>
      <w:r w:rsidRPr="00E3754A">
        <w:rPr>
          <w:lang w:val="en-AU"/>
        </w:rPr>
        <w:t xml:space="preserve">t is argued </w:t>
      </w:r>
      <w:r w:rsidR="00376D60" w:rsidRPr="00E3754A">
        <w:rPr>
          <w:lang w:val="en-AU"/>
        </w:rPr>
        <w:t xml:space="preserve">that </w:t>
      </w:r>
      <w:r w:rsidRPr="00E3754A">
        <w:rPr>
          <w:lang w:val="en-AU"/>
        </w:rPr>
        <w:t xml:space="preserve">these </w:t>
      </w:r>
      <w:r w:rsidR="00526D7B" w:rsidRPr="00E3754A">
        <w:rPr>
          <w:lang w:val="en-AU"/>
        </w:rPr>
        <w:t>defences</w:t>
      </w:r>
      <w:r w:rsidRPr="00E3754A">
        <w:rPr>
          <w:lang w:val="en-AU"/>
        </w:rPr>
        <w:t xml:space="preserve"> should be abolished and replaced with disability-neutral </w:t>
      </w:r>
      <w:r w:rsidR="00526D7B" w:rsidRPr="00E3754A">
        <w:rPr>
          <w:lang w:val="en-AU"/>
        </w:rPr>
        <w:t>defences</w:t>
      </w:r>
      <w:r w:rsidRPr="00E3754A">
        <w:rPr>
          <w:lang w:val="en-AU"/>
        </w:rPr>
        <w:t xml:space="preserve"> or standard</w:t>
      </w:r>
      <w:r w:rsidR="00376D60" w:rsidRPr="00E3754A">
        <w:rPr>
          <w:lang w:val="en-AU"/>
        </w:rPr>
        <w:t>s</w:t>
      </w:r>
      <w:r w:rsidRPr="00E3754A">
        <w:rPr>
          <w:lang w:val="en-AU"/>
        </w:rPr>
        <w:t xml:space="preserve"> for determining responsibility (Richardson, 2012; WNUSP, 2008). Instead, disabled people, particularly those with cognitive impairment or mental distress, would have access to all the defences available to non-disabled persons, including intent and circumstance (WNUSP, 2008). In contrast, Slobogin (2015) argues for the continuation of functional capacity tests in the criminal justice system so that interventions can be permitted under </w:t>
      </w:r>
      <w:r w:rsidRPr="00E3754A">
        <w:rPr>
          <w:i/>
          <w:lang w:val="en-AU"/>
        </w:rPr>
        <w:t xml:space="preserve">parens patriae </w:t>
      </w:r>
      <w:r w:rsidRPr="00E3754A">
        <w:rPr>
          <w:lang w:val="en-AU"/>
        </w:rPr>
        <w:t xml:space="preserve">(protecting the vulnerable), including incapacity as a defence and involuntary </w:t>
      </w:r>
      <w:r w:rsidR="000A47C0" w:rsidRPr="00E3754A">
        <w:rPr>
          <w:lang w:val="en-AU"/>
        </w:rPr>
        <w:t>hospitalisation</w:t>
      </w:r>
      <w:r w:rsidRPr="00E3754A">
        <w:rPr>
          <w:lang w:val="en-AU"/>
        </w:rPr>
        <w:t xml:space="preserve"> as a legal option (as is the case with the IDCCR legislation in the New Zealand context). However</w:t>
      </w:r>
      <w:r w:rsidR="006C1F6F">
        <w:rPr>
          <w:lang w:val="en-AU"/>
        </w:rPr>
        <w:t>,</w:t>
      </w:r>
      <w:r w:rsidRPr="00E3754A">
        <w:rPr>
          <w:lang w:val="en-AU"/>
        </w:rPr>
        <w:t xml:space="preserve"> the literature is relatively unequivocal that in order to align with clarifications in the General Comment, that the continuation of such tests would not give effect to the Convention </w:t>
      </w:r>
      <w:r w:rsidR="001B34B9" w:rsidRPr="00E3754A">
        <w:rPr>
          <w:lang w:val="en-AU"/>
        </w:rPr>
        <w:t>or meet</w:t>
      </w:r>
      <w:r w:rsidRPr="00E3754A">
        <w:rPr>
          <w:lang w:val="en-AU"/>
        </w:rPr>
        <w:t xml:space="preserve"> the obligation</w:t>
      </w:r>
      <w:r w:rsidR="001B34B9" w:rsidRPr="00E3754A">
        <w:rPr>
          <w:lang w:val="en-AU"/>
        </w:rPr>
        <w:t>s</w:t>
      </w:r>
      <w:r w:rsidRPr="00E3754A">
        <w:rPr>
          <w:lang w:val="en-AU"/>
        </w:rPr>
        <w:t xml:space="preserve"> of state</w:t>
      </w:r>
      <w:r w:rsidR="00286600" w:rsidRPr="00E3754A">
        <w:rPr>
          <w:lang w:val="en-AU"/>
        </w:rPr>
        <w:t>s</w:t>
      </w:r>
      <w:r w:rsidRPr="00E3754A">
        <w:rPr>
          <w:lang w:val="en-AU"/>
        </w:rPr>
        <w:t xml:space="preserve"> parties (Flynn &amp; Arstein-Kerslake, 2014; </w:t>
      </w:r>
      <w:r w:rsidR="0074441C" w:rsidRPr="00E3754A">
        <w:rPr>
          <w:lang w:val="en-AU"/>
        </w:rPr>
        <w:t>O’</w:t>
      </w:r>
      <w:r w:rsidRPr="00E3754A">
        <w:rPr>
          <w:lang w:val="en-AU"/>
        </w:rPr>
        <w:t>Mahony, 2012).</w:t>
      </w:r>
    </w:p>
    <w:p w14:paraId="57D5356D" w14:textId="296F83D8" w:rsidR="001644B6" w:rsidRPr="00E3754A" w:rsidRDefault="001644B6" w:rsidP="00E444D8">
      <w:pPr>
        <w:pStyle w:val="Heading4"/>
        <w:rPr>
          <w:lang w:val="en-AU"/>
        </w:rPr>
      </w:pPr>
      <w:r w:rsidRPr="00E3754A">
        <w:rPr>
          <w:lang w:val="en-AU"/>
        </w:rPr>
        <w:t>Decision-making in the absence of mental capacity tests</w:t>
      </w:r>
    </w:p>
    <w:p w14:paraId="5AB94F3D" w14:textId="237B9209" w:rsidR="00CE2A10" w:rsidRPr="00E3754A" w:rsidRDefault="00CE2A10" w:rsidP="00CE2A10">
      <w:pPr>
        <w:pStyle w:val="NoSpacing"/>
        <w:rPr>
          <w:iCs/>
          <w:lang w:val="en-AU"/>
        </w:rPr>
      </w:pPr>
      <w:r w:rsidRPr="00E3754A">
        <w:rPr>
          <w:lang w:val="en-AU"/>
        </w:rPr>
        <w:t xml:space="preserve">The literature highlights that recognising disabled people within the framework of rights-based capacity does not mean that the Convention </w:t>
      </w:r>
      <w:r w:rsidR="008C1437" w:rsidRPr="00E3754A">
        <w:rPr>
          <w:lang w:val="en-AU"/>
        </w:rPr>
        <w:t>proceeds</w:t>
      </w:r>
      <w:r w:rsidRPr="00E3754A">
        <w:rPr>
          <w:lang w:val="en-AU"/>
        </w:rPr>
        <w:t xml:space="preserve"> on an assumption that people can make decisions completely independently (see for example, Watson, 2016a). Convention researchers and commentators recognise that most people, with or without disability, require feedback from formal and informal support networks to </w:t>
      </w:r>
      <w:r w:rsidR="001B34B9" w:rsidRPr="00E3754A">
        <w:rPr>
          <w:lang w:val="en-AU"/>
        </w:rPr>
        <w:t>assist with</w:t>
      </w:r>
      <w:r w:rsidRPr="00E3754A">
        <w:rPr>
          <w:lang w:val="en-AU"/>
        </w:rPr>
        <w:t xml:space="preserve"> decision</w:t>
      </w:r>
      <w:r w:rsidR="001B34B9" w:rsidRPr="00E3754A">
        <w:rPr>
          <w:lang w:val="en-AU"/>
        </w:rPr>
        <w:t>-making</w:t>
      </w:r>
      <w:r w:rsidRPr="00E3754A">
        <w:rPr>
          <w:lang w:val="en-AU"/>
        </w:rPr>
        <w:t xml:space="preserve"> (Gooding, 2013; Mental Disability Advocacy Center, n.d.; Series, 2015; Stavert, 2015). The recognition of this </w:t>
      </w:r>
      <w:r w:rsidR="001B34B9" w:rsidRPr="00E3754A">
        <w:rPr>
          <w:lang w:val="en-AU"/>
        </w:rPr>
        <w:t>interdependence</w:t>
      </w:r>
      <w:r w:rsidR="00376D60" w:rsidRPr="00E3754A">
        <w:rPr>
          <w:lang w:val="en-AU"/>
        </w:rPr>
        <w:t xml:space="preserve"> </w:t>
      </w:r>
      <w:r w:rsidRPr="00E3754A">
        <w:rPr>
          <w:lang w:val="en-AU"/>
        </w:rPr>
        <w:t xml:space="preserve">challenges the idea that decisions are necessarily independent and made in a vacuum (Martin et al., 2012; Series, 2015), rather it conceives of decision-making as collaborative, interdependent and </w:t>
      </w:r>
      <w:r w:rsidRPr="00E3754A">
        <w:rPr>
          <w:i/>
          <w:lang w:val="en-AU"/>
        </w:rPr>
        <w:t>relational</w:t>
      </w:r>
      <w:r w:rsidRPr="00E3754A">
        <w:rPr>
          <w:lang w:val="en-AU"/>
        </w:rPr>
        <w:t xml:space="preserve"> (Carney</w:t>
      </w:r>
      <w:r w:rsidR="00802E05" w:rsidRPr="00E3754A">
        <w:rPr>
          <w:lang w:val="en-AU"/>
        </w:rPr>
        <w:t xml:space="preserve"> &amp; Beaupert</w:t>
      </w:r>
      <w:r w:rsidRPr="00E3754A">
        <w:rPr>
          <w:lang w:val="en-AU"/>
        </w:rPr>
        <w:t>, 2013; Dickey, 2016; Gooding, 2015; Harding, 2013; Martin et al., 2012; Series, 2015; Watson, 2016a). In this concept</w:t>
      </w:r>
      <w:r w:rsidR="00D91851" w:rsidRPr="00E3754A">
        <w:rPr>
          <w:lang w:val="en-AU"/>
        </w:rPr>
        <w:t>ualisation</w:t>
      </w:r>
      <w:r w:rsidRPr="00E3754A">
        <w:rPr>
          <w:lang w:val="en-AU"/>
        </w:rPr>
        <w:t xml:space="preserve"> of decision-making, third parties assist a person to realise their will and preferences in decision-making processes (Series, 2015).</w:t>
      </w:r>
      <w:r w:rsidRPr="00E3754A">
        <w:rPr>
          <w:iCs/>
          <w:lang w:val="en-AU"/>
        </w:rPr>
        <w:t xml:space="preserve"> </w:t>
      </w:r>
    </w:p>
    <w:tbl>
      <w:tblPr>
        <w:tblStyle w:val="Style5"/>
        <w:tblW w:w="5000" w:type="pct"/>
        <w:tblLook w:val="04A0" w:firstRow="1" w:lastRow="0" w:firstColumn="1" w:lastColumn="0" w:noHBand="0" w:noVBand="1"/>
      </w:tblPr>
      <w:tblGrid>
        <w:gridCol w:w="9236"/>
      </w:tblGrid>
      <w:tr w:rsidR="00CE2A10" w:rsidRPr="00E3754A" w14:paraId="3378C8B0" w14:textId="77777777" w:rsidTr="001644B6">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1221BDBD" w14:textId="0E8C043D" w:rsidR="00CE2A10" w:rsidRPr="00E3754A" w:rsidRDefault="00CE2A10">
            <w:pPr>
              <w:pStyle w:val="Heading3"/>
              <w:rPr>
                <w:lang w:val="en-AU"/>
              </w:rPr>
            </w:pPr>
            <w:bookmarkStart w:id="46" w:name="_Toc337970286"/>
            <w:bookmarkStart w:id="47" w:name="_Toc339036852"/>
            <w:r w:rsidRPr="00E3754A">
              <w:rPr>
                <w:lang w:val="en-AU"/>
              </w:rPr>
              <w:t>Obligations to protect vulnerable people</w:t>
            </w:r>
            <w:bookmarkEnd w:id="46"/>
            <w:bookmarkEnd w:id="47"/>
          </w:p>
        </w:tc>
      </w:tr>
    </w:tbl>
    <w:p w14:paraId="3BB7D74A" w14:textId="209C2146" w:rsidR="00CE2A10" w:rsidRPr="00E3754A" w:rsidRDefault="008C1437" w:rsidP="00CE2A10">
      <w:pPr>
        <w:pStyle w:val="NoSpacing"/>
        <w:rPr>
          <w:iCs/>
          <w:lang w:val="en-AU"/>
        </w:rPr>
      </w:pPr>
      <w:r w:rsidRPr="00E3754A">
        <w:rPr>
          <w:iCs/>
          <w:lang w:val="en-AU"/>
        </w:rPr>
        <w:t>This section explores approaches signalled in the literature about how to balance promoting disabled persons’ autonomy with safeguarding their protection (</w:t>
      </w:r>
      <w:r w:rsidR="006D545F" w:rsidRPr="00E3754A">
        <w:rPr>
          <w:iCs/>
          <w:lang w:val="en-AU"/>
        </w:rPr>
        <w:t xml:space="preserve">Question </w:t>
      </w:r>
      <w:r w:rsidRPr="00E3754A">
        <w:rPr>
          <w:iCs/>
          <w:lang w:val="en-AU"/>
        </w:rPr>
        <w:t xml:space="preserve">5, Appendix A). </w:t>
      </w:r>
      <w:r w:rsidR="00CE2A10" w:rsidRPr="00E3754A">
        <w:rPr>
          <w:iCs/>
          <w:lang w:val="en-AU"/>
        </w:rPr>
        <w:t xml:space="preserve">On the basis of </w:t>
      </w:r>
      <w:r w:rsidR="00CE2A10" w:rsidRPr="00E3754A">
        <w:rPr>
          <w:i/>
          <w:iCs/>
          <w:lang w:val="en-AU"/>
        </w:rPr>
        <w:t>parens patriae</w:t>
      </w:r>
      <w:r w:rsidR="00CE2A10" w:rsidRPr="00E3754A">
        <w:rPr>
          <w:iCs/>
          <w:lang w:val="en-AU"/>
        </w:rPr>
        <w:t xml:space="preserve"> (obligation to protect the vulnerable) arguments are made for the need to employ substituted decision-making, capacity tests and notions of ‘incapacity’ in difficult cases, especially in health care con</w:t>
      </w:r>
      <w:r w:rsidR="0029717F" w:rsidRPr="00E3754A">
        <w:rPr>
          <w:iCs/>
          <w:lang w:val="en-AU"/>
        </w:rPr>
        <w:t>texts (see Allen &amp; Tulich, 2015</w:t>
      </w:r>
      <w:r w:rsidR="00CE2A10" w:rsidRPr="00E3754A">
        <w:rPr>
          <w:iCs/>
          <w:lang w:val="en-AU"/>
        </w:rPr>
        <w:t xml:space="preserve">; Chan, 2016; Dawson, 2015; Dunn et al., 2008; Gooding, 2015; Gooding, 2013; Kapp, 2007). The notion of </w:t>
      </w:r>
      <w:r w:rsidR="00CE2A10" w:rsidRPr="00E3754A">
        <w:rPr>
          <w:i/>
          <w:iCs/>
          <w:lang w:val="en-AU"/>
        </w:rPr>
        <w:t>parens patriae</w:t>
      </w:r>
      <w:r w:rsidR="00CE2A10" w:rsidRPr="00E3754A">
        <w:rPr>
          <w:iCs/>
          <w:lang w:val="en-AU"/>
        </w:rPr>
        <w:t xml:space="preserve"> (lit. “parent of the nation”) allows a state to act as a de facto parent for a vulnerable individual (Jameson et al., 2015)</w:t>
      </w:r>
      <w:r w:rsidR="009804E9" w:rsidRPr="00E3754A">
        <w:rPr>
          <w:iCs/>
          <w:lang w:val="en-AU"/>
        </w:rPr>
        <w:t xml:space="preserve">. </w:t>
      </w:r>
      <w:r w:rsidR="00CE2A10" w:rsidRPr="00E3754A">
        <w:rPr>
          <w:iCs/>
          <w:lang w:val="en-AU"/>
        </w:rPr>
        <w:t>The concept has been used to legally justify the duty of care principle, and it is this principle that has been used to balance any risks that potentially arise as a result of a person exercising his or her legal capacity (Dawson, 2015; Chan, 2016; Gooding, 2013)</w:t>
      </w:r>
      <w:r w:rsidR="009804E9" w:rsidRPr="00E3754A">
        <w:rPr>
          <w:iCs/>
          <w:lang w:val="en-AU"/>
        </w:rPr>
        <w:t>.</w:t>
      </w:r>
      <w:r w:rsidR="000E7248" w:rsidRPr="00E3754A">
        <w:rPr>
          <w:iCs/>
          <w:lang w:val="en-AU"/>
        </w:rPr>
        <w:t xml:space="preserve"> </w:t>
      </w:r>
      <w:r w:rsidR="000E7248" w:rsidRPr="00E3754A">
        <w:rPr>
          <w:lang w:val="en-AU"/>
        </w:rPr>
        <w:t>A ‘duty of care’, entails an obligation to</w:t>
      </w:r>
      <w:r w:rsidR="006F7CE1" w:rsidRPr="00E3754A">
        <w:rPr>
          <w:lang w:val="en-AU"/>
        </w:rPr>
        <w:t xml:space="preserve"> </w:t>
      </w:r>
      <w:r w:rsidR="000E7248" w:rsidRPr="00E3754A">
        <w:rPr>
          <w:lang w:val="en-AU"/>
        </w:rPr>
        <w:t>“exercise a level of care towards an individual, as is reasonable in all circumstances to avoid injury to that individual or his/her property” (Watson, 2016a, p. 140; also see Baxter &amp; Carr, 2007).</w:t>
      </w:r>
      <w:r w:rsidR="006F7CE1" w:rsidRPr="00E3754A">
        <w:rPr>
          <w:lang w:val="en-AU"/>
        </w:rPr>
        <w:t xml:space="preserve"> </w:t>
      </w:r>
      <w:r w:rsidR="00CE2A10" w:rsidRPr="00E3754A">
        <w:rPr>
          <w:iCs/>
          <w:lang w:val="en-AU"/>
        </w:rPr>
        <w:t>There is an assumed tension between the provisions of the Convention and the duty of care principle that has led some commentators to criticise Article 12</w:t>
      </w:r>
      <w:r w:rsidR="0070321A" w:rsidRPr="00E3754A">
        <w:rPr>
          <w:iCs/>
          <w:lang w:val="en-AU"/>
        </w:rPr>
        <w:t>. These commentators see a move away from ‘best interests’</w:t>
      </w:r>
      <w:r w:rsidR="00CE2A10" w:rsidRPr="00E3754A">
        <w:rPr>
          <w:iCs/>
          <w:lang w:val="en-AU"/>
        </w:rPr>
        <w:t xml:space="preserve"> as </w:t>
      </w:r>
      <w:r w:rsidR="0070321A" w:rsidRPr="00E3754A">
        <w:rPr>
          <w:iCs/>
          <w:lang w:val="en-AU"/>
        </w:rPr>
        <w:t>having the potential to expose</w:t>
      </w:r>
      <w:r w:rsidR="00CE2A10" w:rsidRPr="00E3754A">
        <w:rPr>
          <w:iCs/>
          <w:lang w:val="en-AU"/>
        </w:rPr>
        <w:t xml:space="preserve"> vulnerable individuals to harmful consequences</w:t>
      </w:r>
      <w:r w:rsidR="0070321A" w:rsidRPr="00E3754A">
        <w:rPr>
          <w:iCs/>
          <w:lang w:val="en-AU"/>
        </w:rPr>
        <w:t xml:space="preserve">; particularly if it </w:t>
      </w:r>
      <w:r w:rsidR="00CE2A10" w:rsidRPr="00E3754A">
        <w:rPr>
          <w:iCs/>
          <w:lang w:val="en-AU"/>
        </w:rPr>
        <w:t>is replaced with the notion of will and preference, and if there is no mechanism for substituted decision-making (</w:t>
      </w:r>
      <w:r w:rsidR="00BD5A43">
        <w:rPr>
          <w:iCs/>
          <w:lang w:val="en-AU"/>
        </w:rPr>
        <w:t>see for example</w:t>
      </w:r>
      <w:r w:rsidR="00CE2A10" w:rsidRPr="00E3754A">
        <w:rPr>
          <w:iCs/>
          <w:lang w:val="en-AU"/>
        </w:rPr>
        <w:t xml:space="preserve"> Dawson, 2015</w:t>
      </w:r>
      <w:r w:rsidR="0070321A" w:rsidRPr="00E3754A">
        <w:rPr>
          <w:iCs/>
          <w:lang w:val="en-AU"/>
        </w:rPr>
        <w:t>; Douglass, 2016</w:t>
      </w:r>
      <w:r w:rsidR="00CE2A10" w:rsidRPr="00E3754A">
        <w:rPr>
          <w:iCs/>
          <w:lang w:val="en-AU"/>
        </w:rPr>
        <w:t xml:space="preserve">). </w:t>
      </w:r>
    </w:p>
    <w:p w14:paraId="16CAF313" w14:textId="06BBA123" w:rsidR="00CE2A10" w:rsidRPr="00E3754A" w:rsidRDefault="00CE2A10" w:rsidP="00CE2A10">
      <w:pPr>
        <w:pStyle w:val="NoSpacing"/>
        <w:rPr>
          <w:iCs/>
          <w:lang w:val="en-AU"/>
        </w:rPr>
      </w:pPr>
      <w:r w:rsidRPr="00E3754A">
        <w:rPr>
          <w:iCs/>
          <w:lang w:val="en-AU"/>
        </w:rPr>
        <w:t xml:space="preserve">The body of literature in favour of ‘last resort’ substituted decision-making </w:t>
      </w:r>
      <w:r w:rsidR="0070321A" w:rsidRPr="00E3754A">
        <w:rPr>
          <w:iCs/>
          <w:lang w:val="en-AU"/>
        </w:rPr>
        <w:t xml:space="preserve">(see for example, </w:t>
      </w:r>
      <w:r w:rsidRPr="00E3754A">
        <w:rPr>
          <w:iCs/>
          <w:lang w:val="en-AU"/>
        </w:rPr>
        <w:t>Dawson</w:t>
      </w:r>
      <w:r w:rsidR="00AB4E2D" w:rsidRPr="00E3754A">
        <w:rPr>
          <w:iCs/>
          <w:lang w:val="en-AU"/>
        </w:rPr>
        <w:t xml:space="preserve">, </w:t>
      </w:r>
      <w:r w:rsidRPr="00E3754A">
        <w:rPr>
          <w:iCs/>
          <w:lang w:val="en-AU"/>
        </w:rPr>
        <w:t>2015</w:t>
      </w:r>
      <w:r w:rsidR="00B52C0B">
        <w:rPr>
          <w:iCs/>
          <w:lang w:val="en-AU"/>
        </w:rPr>
        <w:t>; Douglass, 2016;</w:t>
      </w:r>
      <w:r w:rsidRPr="00E3754A">
        <w:rPr>
          <w:iCs/>
          <w:lang w:val="en-AU"/>
        </w:rPr>
        <w:t xml:space="preserve"> Ciavano</w:t>
      </w:r>
      <w:r w:rsidR="00AB4E2D" w:rsidRPr="00E3754A">
        <w:rPr>
          <w:iCs/>
          <w:lang w:val="en-AU"/>
        </w:rPr>
        <w:t xml:space="preserve">, </w:t>
      </w:r>
      <w:r w:rsidRPr="00E3754A">
        <w:rPr>
          <w:iCs/>
          <w:lang w:val="en-AU"/>
        </w:rPr>
        <w:t>2014</w:t>
      </w:r>
      <w:r w:rsidR="00B52C0B">
        <w:rPr>
          <w:iCs/>
          <w:lang w:val="en-AU"/>
        </w:rPr>
        <w:t>;</w:t>
      </w:r>
      <w:r w:rsidRPr="00E3754A">
        <w:rPr>
          <w:iCs/>
          <w:lang w:val="en-AU"/>
        </w:rPr>
        <w:t xml:space="preserve"> </w:t>
      </w:r>
      <w:r w:rsidR="00BC79D5" w:rsidRPr="00E3754A">
        <w:rPr>
          <w:iCs/>
          <w:lang w:val="en-AU"/>
        </w:rPr>
        <w:t>O’Mahony</w:t>
      </w:r>
      <w:r w:rsidR="00AB4E2D" w:rsidRPr="00E3754A">
        <w:rPr>
          <w:iCs/>
          <w:lang w:val="en-AU"/>
        </w:rPr>
        <w:t xml:space="preserve">, </w:t>
      </w:r>
      <w:r w:rsidRPr="00E3754A">
        <w:rPr>
          <w:iCs/>
          <w:lang w:val="en-AU"/>
        </w:rPr>
        <w:t>2012</w:t>
      </w:r>
      <w:r w:rsidR="00B52C0B">
        <w:rPr>
          <w:iCs/>
          <w:lang w:val="en-AU"/>
        </w:rPr>
        <w:t>;</w:t>
      </w:r>
      <w:r w:rsidR="00AB4E2D" w:rsidRPr="00E3754A">
        <w:rPr>
          <w:iCs/>
          <w:lang w:val="en-AU"/>
        </w:rPr>
        <w:t xml:space="preserve"> and Perlin, 2013</w:t>
      </w:r>
      <w:r w:rsidR="00CE3BE8" w:rsidRPr="00E3754A">
        <w:rPr>
          <w:iCs/>
          <w:lang w:val="en-AU"/>
        </w:rPr>
        <w:t>)</w:t>
      </w:r>
      <w:r w:rsidRPr="00E3754A">
        <w:rPr>
          <w:iCs/>
          <w:lang w:val="en-AU"/>
        </w:rPr>
        <w:t xml:space="preserve"> </w:t>
      </w:r>
      <w:r w:rsidR="004D6C5E" w:rsidRPr="00E3754A">
        <w:rPr>
          <w:iCs/>
          <w:lang w:val="en-AU"/>
        </w:rPr>
        <w:t xml:space="preserve">shows little engagement with </w:t>
      </w:r>
      <w:r w:rsidR="001B34B9" w:rsidRPr="00E3754A">
        <w:rPr>
          <w:iCs/>
          <w:lang w:val="en-AU"/>
        </w:rPr>
        <w:t>the</w:t>
      </w:r>
      <w:r w:rsidRPr="00E3754A">
        <w:rPr>
          <w:iCs/>
          <w:lang w:val="en-AU"/>
        </w:rPr>
        <w:t xml:space="preserve"> concept of ‘facilitated decisi</w:t>
      </w:r>
      <w:r w:rsidR="001B34B9" w:rsidRPr="00E3754A">
        <w:rPr>
          <w:iCs/>
          <w:lang w:val="en-AU"/>
        </w:rPr>
        <w:t xml:space="preserve">on-making’ as an option in difficult or exceptional </w:t>
      </w:r>
      <w:r w:rsidRPr="00E3754A">
        <w:rPr>
          <w:iCs/>
          <w:lang w:val="en-AU"/>
        </w:rPr>
        <w:t>cases</w:t>
      </w:r>
      <w:r w:rsidR="00310CB1" w:rsidRPr="00E3754A">
        <w:rPr>
          <w:iCs/>
          <w:lang w:val="en-AU"/>
        </w:rPr>
        <w:t xml:space="preserve">. </w:t>
      </w:r>
      <w:r w:rsidR="00D90B08" w:rsidRPr="00E3754A">
        <w:rPr>
          <w:iCs/>
          <w:lang w:val="en-AU"/>
        </w:rPr>
        <w:t xml:space="preserve">Therefore, </w:t>
      </w:r>
      <w:r w:rsidRPr="00E3754A">
        <w:rPr>
          <w:iCs/>
          <w:lang w:val="en-AU"/>
        </w:rPr>
        <w:t xml:space="preserve">there is a lack of robust criticism </w:t>
      </w:r>
      <w:r w:rsidRPr="00E3754A">
        <w:rPr>
          <w:i/>
          <w:iCs/>
          <w:lang w:val="en-AU"/>
        </w:rPr>
        <w:t>against</w:t>
      </w:r>
      <w:r w:rsidRPr="00E3754A">
        <w:rPr>
          <w:iCs/>
          <w:lang w:val="en-AU"/>
        </w:rPr>
        <w:t xml:space="preserve"> facilitated decision-making as a potentially viable alternative of supported decision-making in </w:t>
      </w:r>
      <w:r w:rsidR="002E0DE3" w:rsidRPr="00E3754A">
        <w:rPr>
          <w:iCs/>
          <w:lang w:val="en-AU"/>
        </w:rPr>
        <w:t xml:space="preserve">these </w:t>
      </w:r>
      <w:r w:rsidRPr="00E3754A">
        <w:rPr>
          <w:iCs/>
          <w:lang w:val="en-AU"/>
        </w:rPr>
        <w:t xml:space="preserve">exceptional cases. This alternative is explored later in the section concerning options for support that have been signalled or </w:t>
      </w:r>
      <w:r w:rsidR="00C52DFD" w:rsidRPr="00E3754A">
        <w:rPr>
          <w:iCs/>
          <w:lang w:val="en-AU"/>
        </w:rPr>
        <w:t>that</w:t>
      </w:r>
      <w:r w:rsidR="00037517" w:rsidRPr="00E3754A">
        <w:rPr>
          <w:iCs/>
          <w:lang w:val="en-AU"/>
        </w:rPr>
        <w:t xml:space="preserve"> </w:t>
      </w:r>
      <w:r w:rsidRPr="00E3754A">
        <w:rPr>
          <w:iCs/>
          <w:lang w:val="en-AU"/>
        </w:rPr>
        <w:t>are currently emerging</w:t>
      </w:r>
      <w:r w:rsidR="00310CB1" w:rsidRPr="00E3754A">
        <w:rPr>
          <w:iCs/>
          <w:lang w:val="en-AU"/>
        </w:rPr>
        <w:t>.</w:t>
      </w:r>
    </w:p>
    <w:p w14:paraId="46714019" w14:textId="7F36C8CD" w:rsidR="00CE2A10" w:rsidRPr="00E3754A" w:rsidRDefault="00CE2A10" w:rsidP="00CE2A10">
      <w:pPr>
        <w:pStyle w:val="NoSpacing"/>
        <w:rPr>
          <w:iCs/>
          <w:lang w:val="en-AU"/>
        </w:rPr>
      </w:pPr>
      <w:r w:rsidRPr="00E3754A">
        <w:rPr>
          <w:iCs/>
          <w:lang w:val="en-AU"/>
        </w:rPr>
        <w:t xml:space="preserve">In summary, there is a perception within some quarters that the more liberal interpretation of the Convention subjects those less able to exercise their legal capacity in accordance with their will and preference to unacceptable levels of negligence. While the General Comment </w:t>
      </w:r>
      <w:r w:rsidR="002E0DE3" w:rsidRPr="00E3754A">
        <w:rPr>
          <w:iCs/>
          <w:lang w:val="en-AU"/>
        </w:rPr>
        <w:t xml:space="preserve">No. 1 (2014) </w:t>
      </w:r>
      <w:r w:rsidRPr="00E3754A">
        <w:rPr>
          <w:iCs/>
          <w:lang w:val="en-AU"/>
        </w:rPr>
        <w:t>explicitly excludes the possibility of substitute decision-making (at paragraph 28), it equally emphasises the ‘development of supported decision-making alternatives.’ Flynn and Arstein-Kerslake (2014) suggest</w:t>
      </w:r>
      <w:r w:rsidR="00310CB1" w:rsidRPr="00E3754A">
        <w:rPr>
          <w:iCs/>
          <w:lang w:val="en-AU"/>
        </w:rPr>
        <w:t xml:space="preserve"> that</w:t>
      </w:r>
      <w:r w:rsidRPr="00E3754A">
        <w:rPr>
          <w:iCs/>
          <w:lang w:val="en-AU"/>
        </w:rPr>
        <w:t xml:space="preserve"> an insistence on exceptions to the disestablishment of substitute decision-making undermine the ethos of the Convention, inasmuch as the ‘exceptions’ invariably apply to persons with disabilities. Other authors also stand in opposition to the notion of ‘last resort’ substitut</w:t>
      </w:r>
      <w:r w:rsidR="00EB1990" w:rsidRPr="00E3754A">
        <w:rPr>
          <w:iCs/>
          <w:lang w:val="en-AU"/>
        </w:rPr>
        <w:t>ed decision-making (see Minkowit</w:t>
      </w:r>
      <w:r w:rsidRPr="00E3754A">
        <w:rPr>
          <w:iCs/>
          <w:lang w:val="en-AU"/>
        </w:rPr>
        <w:t>z, 2014; Minkowitz, 2013; Callaghan &amp; Ryan, 2014). Arstein-K</w:t>
      </w:r>
      <w:r w:rsidR="00657E6F" w:rsidRPr="00E3754A">
        <w:rPr>
          <w:iCs/>
          <w:lang w:val="en-AU"/>
        </w:rPr>
        <w:t>erslake and Flynn (2015) contend</w:t>
      </w:r>
      <w:r w:rsidRPr="00E3754A">
        <w:rPr>
          <w:iCs/>
          <w:lang w:val="en-AU"/>
        </w:rPr>
        <w:t xml:space="preserve"> that, rather than protecting </w:t>
      </w:r>
      <w:r w:rsidR="00CA6226">
        <w:rPr>
          <w:iCs/>
          <w:lang w:val="en-AU"/>
        </w:rPr>
        <w:t xml:space="preserve">disabled people </w:t>
      </w:r>
      <w:r w:rsidRPr="00E3754A">
        <w:rPr>
          <w:iCs/>
          <w:lang w:val="en-AU"/>
        </w:rPr>
        <w:t xml:space="preserve">by means of denying them legal rights to capacity, </w:t>
      </w:r>
      <w:r w:rsidR="00D37D99">
        <w:rPr>
          <w:iCs/>
          <w:lang w:val="en-AU"/>
        </w:rPr>
        <w:t>they</w:t>
      </w:r>
      <w:r w:rsidR="00D37D99" w:rsidRPr="00E3754A">
        <w:rPr>
          <w:iCs/>
          <w:lang w:val="en-AU"/>
        </w:rPr>
        <w:t xml:space="preserve"> </w:t>
      </w:r>
      <w:r w:rsidRPr="00E3754A">
        <w:rPr>
          <w:iCs/>
          <w:lang w:val="en-AU"/>
        </w:rPr>
        <w:t>can</w:t>
      </w:r>
      <w:r w:rsidR="00D37D99">
        <w:rPr>
          <w:iCs/>
          <w:lang w:val="en-AU"/>
        </w:rPr>
        <w:t xml:space="preserve"> instead</w:t>
      </w:r>
      <w:r w:rsidRPr="00E3754A">
        <w:rPr>
          <w:iCs/>
          <w:lang w:val="en-AU"/>
        </w:rPr>
        <w:t xml:space="preserve"> be protected through empowerment, the recognition of their decision-making ability, and support through trust and connection (also see similar arguments in Arstein-Kerslake and Flynn, 2014; Bartlett, 2012; Dickey, 2016; </w:t>
      </w:r>
      <w:r w:rsidR="00BC79D5" w:rsidRPr="00E3754A">
        <w:rPr>
          <w:iCs/>
          <w:lang w:val="en-AU"/>
        </w:rPr>
        <w:t>O’Mahony</w:t>
      </w:r>
      <w:r w:rsidRPr="00E3754A">
        <w:rPr>
          <w:iCs/>
          <w:lang w:val="en-AU"/>
        </w:rPr>
        <w:t xml:space="preserve">, 2012; Morrissey, 2012; Series, 2016; Stainton, 2015). </w:t>
      </w:r>
    </w:p>
    <w:p w14:paraId="01B4EB82" w14:textId="66949C8E" w:rsidR="00CE2A10" w:rsidRPr="00E3754A" w:rsidRDefault="00CE2A10" w:rsidP="00CE2A10">
      <w:pPr>
        <w:pStyle w:val="NoSpacing"/>
        <w:rPr>
          <w:lang w:val="en-AU"/>
        </w:rPr>
      </w:pPr>
      <w:r w:rsidRPr="00E3754A">
        <w:rPr>
          <w:lang w:val="en-AU"/>
        </w:rPr>
        <w:t>In the context of finances for example, Smetanka (2015) proposes an idea of what protecting persons through empowerment would look like, including checking for signs of abuse and taking pro-active measures towards inter-dependent decision-making (planning, reviewing, managing, and understanding the disabled person’s finances as a team). It can also involve encouraging self-advocacy by providing them with suggestions and ways to refuse requests for money.</w:t>
      </w:r>
    </w:p>
    <w:p w14:paraId="14BB9E57" w14:textId="1D8C834D" w:rsidR="00CE2A10" w:rsidRPr="00E3754A" w:rsidRDefault="000F4722" w:rsidP="00CE2A10">
      <w:pPr>
        <w:pStyle w:val="NoSpacing"/>
        <w:rPr>
          <w:iCs/>
          <w:lang w:val="en-AU"/>
        </w:rPr>
      </w:pPr>
      <w:r w:rsidRPr="00E3754A">
        <w:rPr>
          <w:iCs/>
          <w:lang w:val="en-AU"/>
        </w:rPr>
        <w:t>Similarly, w</w:t>
      </w:r>
      <w:r w:rsidR="00CE2A10" w:rsidRPr="00E3754A">
        <w:rPr>
          <w:iCs/>
          <w:lang w:val="en-AU"/>
        </w:rPr>
        <w:t xml:space="preserve">ith regard to decisions under extreme distress and/or disruption in their authentic self and ‘true’ will and preference, </w:t>
      </w:r>
      <w:r w:rsidRPr="00E3754A">
        <w:rPr>
          <w:iCs/>
          <w:lang w:val="en-AU"/>
        </w:rPr>
        <w:t>close attention</w:t>
      </w:r>
      <w:r w:rsidR="00CE2A10" w:rsidRPr="00E3754A">
        <w:rPr>
          <w:iCs/>
          <w:lang w:val="en-AU"/>
        </w:rPr>
        <w:t xml:space="preserve"> can be paid to what is known about the person. Arstein-Keirslake (2014), Callaghan &amp; Ryan (2014)</w:t>
      </w:r>
      <w:r w:rsidR="00CE5D2C" w:rsidRPr="00E3754A">
        <w:rPr>
          <w:iCs/>
          <w:lang w:val="en-AU"/>
        </w:rPr>
        <w:t>,</w:t>
      </w:r>
      <w:r w:rsidR="00CE2A10" w:rsidRPr="00E3754A">
        <w:rPr>
          <w:iCs/>
          <w:lang w:val="en-AU"/>
        </w:rPr>
        <w:t xml:space="preserve"> and Series (2015) propose a justification for interventions </w:t>
      </w:r>
      <w:r w:rsidR="003A28A7" w:rsidRPr="00E3754A">
        <w:rPr>
          <w:iCs/>
          <w:lang w:val="en-AU"/>
        </w:rPr>
        <w:t>whereby</w:t>
      </w:r>
      <w:r w:rsidR="00CE2A10" w:rsidRPr="00E3754A">
        <w:rPr>
          <w:iCs/>
          <w:lang w:val="en-AU"/>
        </w:rPr>
        <w:t xml:space="preserve"> facilitators (based on the facilitator’s knowledge of the person and their states of thinking) proceed on the premise that there are disturbances in a person’s authentic agency and ‘true’ will and preference – but where authentic will and preference and supporting the realisation of agency remain </w:t>
      </w:r>
      <w:r w:rsidR="0083608E" w:rsidRPr="00E3754A">
        <w:rPr>
          <w:iCs/>
          <w:lang w:val="en-AU"/>
        </w:rPr>
        <w:t>central to decisions. McMillan,</w:t>
      </w:r>
      <w:r w:rsidR="00CE2A10" w:rsidRPr="00E3754A">
        <w:rPr>
          <w:iCs/>
          <w:lang w:val="en-AU"/>
        </w:rPr>
        <w:t xml:space="preserve"> Hope </w:t>
      </w:r>
      <w:r w:rsidR="0083608E" w:rsidRPr="00E3754A">
        <w:rPr>
          <w:iCs/>
          <w:lang w:val="en-AU"/>
        </w:rPr>
        <w:t xml:space="preserve">&amp; Walker </w:t>
      </w:r>
      <w:r w:rsidR="00CE2A10" w:rsidRPr="00E3754A">
        <w:rPr>
          <w:iCs/>
          <w:lang w:val="en-AU"/>
        </w:rPr>
        <w:t xml:space="preserve">(2014) also argue for a similar approach in the context of persons with severe dementia showing radical changes in their expressed interests and preferences. Although fulfilling a duty of care frequently entails recourse to that person’s previous characteristic preferences, it is important to revisit one of the key characteristics of models that are inconsistent with the Convention, that is: </w:t>
      </w:r>
      <w:r w:rsidR="003A28A7" w:rsidRPr="00E3754A">
        <w:rPr>
          <w:iCs/>
          <w:lang w:val="en-AU"/>
        </w:rPr>
        <w:t>models</w:t>
      </w:r>
      <w:r w:rsidR="00CE2A10" w:rsidRPr="00E3754A">
        <w:rPr>
          <w:iCs/>
          <w:lang w:val="en-AU"/>
        </w:rPr>
        <w:t xml:space="preserve"> in which the rights, will and preference of the respective person are not central to any decisions made. </w:t>
      </w:r>
      <w:r w:rsidR="001B34B9" w:rsidRPr="00E3754A">
        <w:rPr>
          <w:iCs/>
          <w:lang w:val="en-AU"/>
        </w:rPr>
        <w:t>Real</w:t>
      </w:r>
      <w:r w:rsidR="00CE2A10" w:rsidRPr="00E3754A">
        <w:rPr>
          <w:iCs/>
          <w:lang w:val="en-AU"/>
        </w:rPr>
        <w:t xml:space="preserve"> connection with the obligations set out in the</w:t>
      </w:r>
      <w:r w:rsidR="001B34B9" w:rsidRPr="00E3754A">
        <w:rPr>
          <w:iCs/>
          <w:lang w:val="en-AU"/>
        </w:rPr>
        <w:t xml:space="preserve"> Convention is lost</w:t>
      </w:r>
      <w:r w:rsidR="00CE2A10" w:rsidRPr="00E3754A">
        <w:rPr>
          <w:iCs/>
          <w:lang w:val="en-AU"/>
        </w:rPr>
        <w:t xml:space="preserve"> when the person’s will and preference is no longer the determining and central factor (as is highlighted in Arstein-Kerslake, 2016; Arstein-Kerslake &amp; Flynn, 2015; Douglas et al. 2015; Flynn &amp; Arstein-Kerslake, 2014; Knox et al., 2016; </w:t>
      </w:r>
      <w:r w:rsidR="00881203" w:rsidRPr="00E3754A">
        <w:rPr>
          <w:iCs/>
          <w:lang w:val="en-AU"/>
        </w:rPr>
        <w:t xml:space="preserve">Series et al., 2014; </w:t>
      </w:r>
      <w:r w:rsidR="00CE2A10" w:rsidRPr="00E3754A">
        <w:rPr>
          <w:iCs/>
          <w:lang w:val="en-AU"/>
        </w:rPr>
        <w:t>Stavert, 2016; Tracy, 2015; Watson, 2016a).</w:t>
      </w:r>
      <w:r w:rsidR="00B507EE" w:rsidRPr="00E3754A">
        <w:rPr>
          <w:rStyle w:val="FootnoteReference"/>
          <w:iCs/>
          <w:lang w:val="en-AU"/>
        </w:rPr>
        <w:footnoteReference w:id="10"/>
      </w:r>
      <w:r w:rsidR="00CE2A10" w:rsidRPr="00E3754A">
        <w:rPr>
          <w:iCs/>
          <w:lang w:val="en-AU"/>
        </w:rPr>
        <w:t xml:space="preserve"> </w:t>
      </w:r>
    </w:p>
    <w:p w14:paraId="7CB6275A" w14:textId="10CDD3B8" w:rsidR="00CE2A10" w:rsidRPr="00E3754A" w:rsidRDefault="003A28A7" w:rsidP="00CE2A10">
      <w:pPr>
        <w:pStyle w:val="NoSpacing"/>
        <w:rPr>
          <w:iCs/>
          <w:lang w:val="en-AU"/>
        </w:rPr>
      </w:pPr>
      <w:r w:rsidRPr="00E3754A">
        <w:rPr>
          <w:iCs/>
          <w:lang w:val="en-AU"/>
        </w:rPr>
        <w:t xml:space="preserve">What to do when </w:t>
      </w:r>
      <w:r w:rsidR="00CE2A10" w:rsidRPr="00E3754A">
        <w:rPr>
          <w:iCs/>
          <w:lang w:val="en-AU"/>
        </w:rPr>
        <w:t>it is not possible to obtain the will and preferences of a person</w:t>
      </w:r>
      <w:r w:rsidRPr="00E3754A">
        <w:rPr>
          <w:iCs/>
          <w:lang w:val="en-AU"/>
        </w:rPr>
        <w:t xml:space="preserve"> has been highlighted as another significant difficulty within the debates relating to Article 12</w:t>
      </w:r>
      <w:r w:rsidR="009804E9" w:rsidRPr="00E3754A">
        <w:rPr>
          <w:iCs/>
          <w:lang w:val="en-AU"/>
        </w:rPr>
        <w:t xml:space="preserve">. </w:t>
      </w:r>
      <w:r w:rsidRPr="00E3754A">
        <w:rPr>
          <w:iCs/>
          <w:lang w:val="en-AU"/>
        </w:rPr>
        <w:t>Some commentators argue</w:t>
      </w:r>
      <w:r w:rsidR="00CE2A10" w:rsidRPr="00E3754A">
        <w:rPr>
          <w:iCs/>
          <w:lang w:val="en-AU"/>
        </w:rPr>
        <w:t xml:space="preserve"> that it is always possible to determine a person’s will and preference or at least come to a best interpretation</w:t>
      </w:r>
      <w:r w:rsidRPr="00E3754A">
        <w:rPr>
          <w:iCs/>
          <w:lang w:val="en-AU"/>
        </w:rPr>
        <w:t>;</w:t>
      </w:r>
      <w:r w:rsidR="00CE2A10" w:rsidRPr="00E3754A">
        <w:rPr>
          <w:iCs/>
          <w:lang w:val="en-AU"/>
        </w:rPr>
        <w:t xml:space="preserve"> that</w:t>
      </w:r>
      <w:r w:rsidR="00343051" w:rsidRPr="00E3754A">
        <w:rPr>
          <w:iCs/>
          <w:lang w:val="en-AU"/>
        </w:rPr>
        <w:t xml:space="preserve"> is, that</w:t>
      </w:r>
      <w:r w:rsidR="00CE2A10" w:rsidRPr="00E3754A">
        <w:rPr>
          <w:iCs/>
          <w:lang w:val="en-AU"/>
        </w:rPr>
        <w:t xml:space="preserve"> every human person has the ability to express their will and preferences (Watson, 2016a)</w:t>
      </w:r>
      <w:r w:rsidR="009804E9" w:rsidRPr="00E3754A">
        <w:rPr>
          <w:iCs/>
          <w:lang w:val="en-AU"/>
        </w:rPr>
        <w:t xml:space="preserve">. </w:t>
      </w:r>
      <w:r w:rsidRPr="00E3754A">
        <w:rPr>
          <w:iCs/>
          <w:lang w:val="en-AU"/>
        </w:rPr>
        <w:t>W</w:t>
      </w:r>
      <w:r w:rsidR="00CE2A10" w:rsidRPr="00E3754A">
        <w:rPr>
          <w:iCs/>
          <w:lang w:val="en-AU"/>
        </w:rPr>
        <w:t xml:space="preserve">hen </w:t>
      </w:r>
      <w:r w:rsidRPr="00E3754A">
        <w:rPr>
          <w:iCs/>
          <w:lang w:val="en-AU"/>
        </w:rPr>
        <w:t xml:space="preserve">a </w:t>
      </w:r>
      <w:r w:rsidR="00CE2A10" w:rsidRPr="00E3754A">
        <w:rPr>
          <w:iCs/>
          <w:lang w:val="en-AU"/>
        </w:rPr>
        <w:t>person is unable to express their will and preferences</w:t>
      </w:r>
      <w:r w:rsidRPr="00E3754A">
        <w:rPr>
          <w:iCs/>
          <w:lang w:val="en-AU"/>
        </w:rPr>
        <w:t xml:space="preserve"> (in a manner that others can </w:t>
      </w:r>
      <w:r w:rsidR="00116DE8" w:rsidRPr="00E3754A">
        <w:rPr>
          <w:iCs/>
          <w:lang w:val="en-AU"/>
        </w:rPr>
        <w:t>easily</w:t>
      </w:r>
      <w:r w:rsidRPr="00E3754A">
        <w:rPr>
          <w:iCs/>
          <w:lang w:val="en-AU"/>
        </w:rPr>
        <w:t xml:space="preserve"> interpret)</w:t>
      </w:r>
      <w:r w:rsidR="00CE2A10" w:rsidRPr="00E3754A">
        <w:rPr>
          <w:iCs/>
          <w:lang w:val="en-AU"/>
        </w:rPr>
        <w:t>, a third party must gather these expressions and other available information (including values and beliefs or previous expressions of agency) and imagine the will and preferences of the person based on these factors (Arstein-Kerslake &amp; Flynn, 2015; Devi, 2013; Flynn &amp; Arstein-Kerslake, 2014). Using this approach</w:t>
      </w:r>
      <w:r w:rsidR="00037517" w:rsidRPr="00E3754A">
        <w:rPr>
          <w:iCs/>
          <w:lang w:val="en-AU"/>
        </w:rPr>
        <w:t>, it is argued</w:t>
      </w:r>
      <w:r w:rsidR="00CE2A10" w:rsidRPr="00E3754A">
        <w:rPr>
          <w:iCs/>
          <w:lang w:val="en-AU"/>
        </w:rPr>
        <w:t xml:space="preserve">, a third party </w:t>
      </w:r>
      <w:r w:rsidR="00037517" w:rsidRPr="00E3754A">
        <w:rPr>
          <w:iCs/>
          <w:lang w:val="en-AU"/>
        </w:rPr>
        <w:t>can assist</w:t>
      </w:r>
      <w:r w:rsidR="00CE2A10" w:rsidRPr="00E3754A">
        <w:rPr>
          <w:iCs/>
          <w:lang w:val="en-AU"/>
        </w:rPr>
        <w:t xml:space="preserve"> the </w:t>
      </w:r>
      <w:r w:rsidR="00037517" w:rsidRPr="00E3754A">
        <w:rPr>
          <w:iCs/>
          <w:lang w:val="en-AU"/>
        </w:rPr>
        <w:t>disabled person to execute agency</w:t>
      </w:r>
      <w:r w:rsidR="00CE2A10" w:rsidRPr="00E3754A">
        <w:rPr>
          <w:iCs/>
          <w:lang w:val="en-AU"/>
        </w:rPr>
        <w:t xml:space="preserve">, </w:t>
      </w:r>
      <w:r w:rsidR="00037517" w:rsidRPr="00E3754A">
        <w:rPr>
          <w:iCs/>
          <w:lang w:val="en-AU"/>
        </w:rPr>
        <w:t>instead of</w:t>
      </w:r>
      <w:r w:rsidR="00CE2A10" w:rsidRPr="00E3754A">
        <w:rPr>
          <w:iCs/>
          <w:lang w:val="en-AU"/>
        </w:rPr>
        <w:t xml:space="preserve"> making a substituted decision</w:t>
      </w:r>
      <w:r w:rsidRPr="00E3754A">
        <w:rPr>
          <w:iCs/>
          <w:lang w:val="en-AU"/>
        </w:rPr>
        <w:t xml:space="preserve"> </w:t>
      </w:r>
      <w:r w:rsidR="00CE2A10" w:rsidRPr="00E3754A">
        <w:rPr>
          <w:iCs/>
          <w:lang w:val="en-AU"/>
        </w:rPr>
        <w:t xml:space="preserve">about their best interests (Series, 2016). In order to execute the person’s agency, the supporter must </w:t>
      </w:r>
      <w:r w:rsidR="00037517" w:rsidRPr="00E3754A">
        <w:rPr>
          <w:iCs/>
          <w:lang w:val="en-AU"/>
        </w:rPr>
        <w:t>commit to</w:t>
      </w:r>
      <w:r w:rsidR="00CE2A10" w:rsidRPr="00E3754A">
        <w:rPr>
          <w:iCs/>
          <w:lang w:val="en-AU"/>
        </w:rPr>
        <w:t xml:space="preserve"> discover</w:t>
      </w:r>
      <w:r w:rsidR="00037517" w:rsidRPr="00E3754A">
        <w:rPr>
          <w:iCs/>
          <w:lang w:val="en-AU"/>
        </w:rPr>
        <w:t>ing</w:t>
      </w:r>
      <w:r w:rsidR="00CE2A10" w:rsidRPr="00E3754A">
        <w:rPr>
          <w:iCs/>
          <w:lang w:val="en-AU"/>
        </w:rPr>
        <w:t xml:space="preserve"> the</w:t>
      </w:r>
      <w:r w:rsidR="00037517" w:rsidRPr="00E3754A">
        <w:rPr>
          <w:iCs/>
          <w:lang w:val="en-AU"/>
        </w:rPr>
        <w:t xml:space="preserve"> person’s</w:t>
      </w:r>
      <w:r w:rsidR="00CE2A10" w:rsidRPr="00E3754A">
        <w:rPr>
          <w:iCs/>
          <w:lang w:val="en-AU"/>
        </w:rPr>
        <w:t xml:space="preserve"> core values and preferences even when doing so requires great effort (see Allen &amp; Tulich, 2015; Flynn &amp; Arstein-Kerslake, 2014). </w:t>
      </w:r>
      <w:r w:rsidRPr="00E3754A">
        <w:rPr>
          <w:iCs/>
          <w:lang w:val="en-AU"/>
        </w:rPr>
        <w:t>In this way</w:t>
      </w:r>
      <w:r w:rsidR="00CE2A10" w:rsidRPr="00E3754A">
        <w:rPr>
          <w:iCs/>
          <w:lang w:val="en-AU"/>
        </w:rPr>
        <w:t xml:space="preserve"> the person’s will and preferences remain at the </w:t>
      </w:r>
      <w:r w:rsidR="00D1315A" w:rsidRPr="00E3754A">
        <w:rPr>
          <w:iCs/>
          <w:lang w:val="en-AU"/>
        </w:rPr>
        <w:t>centre</w:t>
      </w:r>
      <w:r w:rsidR="00CE2A10" w:rsidRPr="00E3754A">
        <w:rPr>
          <w:iCs/>
          <w:lang w:val="en-AU"/>
        </w:rPr>
        <w:t xml:space="preserve"> of the decision as the determining factor, rather than having the will of another imposed on them (Arstein-Kerslake &amp; Flynn, 2015; Flynn &amp; Arstein-Kerslake, 2014). Gooding (2015) and Allen &amp; Tulich (2015) describe this process as: proceeding on the ‘best interpretation’ of the person’s will and preference so</w:t>
      </w:r>
      <w:r w:rsidR="00D26E09" w:rsidRPr="00E3754A">
        <w:rPr>
          <w:iCs/>
          <w:lang w:val="en-AU"/>
        </w:rPr>
        <w:t xml:space="preserve"> as</w:t>
      </w:r>
      <w:r w:rsidR="00CE2A10" w:rsidRPr="00E3754A">
        <w:rPr>
          <w:iCs/>
          <w:lang w:val="en-AU"/>
        </w:rPr>
        <w:t xml:space="preserve"> to give expression to a person’s agency. These types of approaches are expl</w:t>
      </w:r>
      <w:r w:rsidR="00D26E09" w:rsidRPr="00E3754A">
        <w:rPr>
          <w:iCs/>
          <w:lang w:val="en-AU"/>
        </w:rPr>
        <w:t xml:space="preserve">ored again later in this report, </w:t>
      </w:r>
      <w:r w:rsidR="00CE2A10" w:rsidRPr="00E3754A">
        <w:rPr>
          <w:iCs/>
          <w:lang w:val="en-AU"/>
        </w:rPr>
        <w:t xml:space="preserve">but have been raised here as a way of answering common critiques of </w:t>
      </w:r>
      <w:r w:rsidRPr="00E3754A">
        <w:rPr>
          <w:iCs/>
          <w:lang w:val="en-AU"/>
        </w:rPr>
        <w:t>supported decision-making</w:t>
      </w:r>
      <w:r w:rsidR="00CE2A10" w:rsidRPr="00E3754A">
        <w:rPr>
          <w:iCs/>
          <w:lang w:val="en-AU"/>
        </w:rPr>
        <w:t>. Additionally, some evidence suggests that advances in assisti</w:t>
      </w:r>
      <w:r w:rsidR="00657E6F" w:rsidRPr="00E3754A">
        <w:rPr>
          <w:iCs/>
          <w:lang w:val="en-AU"/>
        </w:rPr>
        <w:t>ve technology better enable thir</w:t>
      </w:r>
      <w:r w:rsidR="00CE2A10" w:rsidRPr="00E3754A">
        <w:rPr>
          <w:iCs/>
          <w:lang w:val="en-AU"/>
        </w:rPr>
        <w:t>d parties to establish communication with per</w:t>
      </w:r>
      <w:r w:rsidR="00171E37" w:rsidRPr="00E3754A">
        <w:rPr>
          <w:iCs/>
          <w:lang w:val="en-AU"/>
        </w:rPr>
        <w:t xml:space="preserve">sons in minimally conscious </w:t>
      </w:r>
      <w:r w:rsidR="00CE2A10" w:rsidRPr="00E3754A">
        <w:rPr>
          <w:iCs/>
          <w:lang w:val="en-AU"/>
        </w:rPr>
        <w:t xml:space="preserve">states so </w:t>
      </w:r>
      <w:r w:rsidR="00D26E09" w:rsidRPr="00E3754A">
        <w:rPr>
          <w:iCs/>
          <w:lang w:val="en-AU"/>
        </w:rPr>
        <w:t xml:space="preserve">as </w:t>
      </w:r>
      <w:r w:rsidR="00CE2A10" w:rsidRPr="00E3754A">
        <w:rPr>
          <w:iCs/>
          <w:lang w:val="en-AU"/>
        </w:rPr>
        <w:t>to obtain their will and preferences in the present (Gooding at al., 2015).</w:t>
      </w:r>
    </w:p>
    <w:p w14:paraId="73109DEE" w14:textId="73C26DB6" w:rsidR="00CE2A10" w:rsidRPr="00E3754A" w:rsidRDefault="00CE2A10" w:rsidP="00CE2A10">
      <w:pPr>
        <w:pStyle w:val="NoSpacing"/>
        <w:rPr>
          <w:lang w:val="en-AU"/>
        </w:rPr>
      </w:pPr>
      <w:r w:rsidRPr="00E3754A">
        <w:rPr>
          <w:lang w:val="en-AU"/>
        </w:rPr>
        <w:t xml:space="preserve">Considerations of the expression of will and preference have highlighted that disabled people must be permitted to </w:t>
      </w:r>
      <w:r w:rsidR="00B7502A" w:rsidRPr="00E3754A">
        <w:rPr>
          <w:lang w:val="en-AU"/>
        </w:rPr>
        <w:t xml:space="preserve">both ask for, and </w:t>
      </w:r>
      <w:r w:rsidRPr="00E3754A">
        <w:rPr>
          <w:lang w:val="en-AU"/>
        </w:rPr>
        <w:t>refuse</w:t>
      </w:r>
      <w:r w:rsidR="00527DE4" w:rsidRPr="00E3754A">
        <w:rPr>
          <w:lang w:val="en-AU"/>
        </w:rPr>
        <w:t>,</w:t>
      </w:r>
      <w:r w:rsidRPr="00E3754A">
        <w:rPr>
          <w:lang w:val="en-AU"/>
        </w:rPr>
        <w:t xml:space="preserve"> support (Flynn &amp; Arstein-Kerslake, 2014). In other words, disabled pe</w:t>
      </w:r>
      <w:r w:rsidR="00343051" w:rsidRPr="00E3754A">
        <w:rPr>
          <w:lang w:val="en-AU"/>
        </w:rPr>
        <w:t>ople</w:t>
      </w:r>
      <w:r w:rsidRPr="00E3754A">
        <w:rPr>
          <w:lang w:val="en-AU"/>
        </w:rPr>
        <w:t xml:space="preserve"> should have their will and preferences respected, ev</w:t>
      </w:r>
      <w:r w:rsidR="00176BE0" w:rsidRPr="00E3754A">
        <w:rPr>
          <w:lang w:val="en-AU"/>
        </w:rPr>
        <w:t>en when their choices are percei</w:t>
      </w:r>
      <w:r w:rsidRPr="00E3754A">
        <w:rPr>
          <w:lang w:val="en-AU"/>
        </w:rPr>
        <w:t xml:space="preserve">ved as unorthodox or when it means that they </w:t>
      </w:r>
      <w:r w:rsidR="00037517" w:rsidRPr="00E3754A">
        <w:rPr>
          <w:lang w:val="en-AU"/>
        </w:rPr>
        <w:t xml:space="preserve">may </w:t>
      </w:r>
      <w:r w:rsidRPr="00E3754A">
        <w:rPr>
          <w:lang w:val="en-AU"/>
        </w:rPr>
        <w:t xml:space="preserve">put themselves </w:t>
      </w:r>
      <w:r w:rsidR="00037517" w:rsidRPr="00E3754A">
        <w:rPr>
          <w:lang w:val="en-AU"/>
        </w:rPr>
        <w:t>at risk</w:t>
      </w:r>
      <w:r w:rsidRPr="00E3754A">
        <w:rPr>
          <w:lang w:val="en-AU"/>
        </w:rPr>
        <w:t xml:space="preserve"> (Richardson, 2012; Series, 2015</w:t>
      </w:r>
      <w:r w:rsidR="00422F00" w:rsidRPr="00E3754A">
        <w:rPr>
          <w:lang w:val="en-AU"/>
        </w:rPr>
        <w:t>; Series et al., 2014</w:t>
      </w:r>
      <w:r w:rsidRPr="00E3754A">
        <w:rPr>
          <w:lang w:val="en-AU"/>
        </w:rPr>
        <w:t xml:space="preserve">). Callaghan &amp; Ryan (2014) and Flynn &amp; Arstein-Kerslake (2014) refer to this </w:t>
      </w:r>
      <w:r w:rsidR="00037517" w:rsidRPr="00E3754A">
        <w:rPr>
          <w:lang w:val="en-AU"/>
        </w:rPr>
        <w:t xml:space="preserve">as </w:t>
      </w:r>
      <w:r w:rsidRPr="00E3754A">
        <w:rPr>
          <w:lang w:val="en-AU"/>
        </w:rPr>
        <w:t>‘dignity of risk’</w:t>
      </w:r>
      <w:r w:rsidR="00037517" w:rsidRPr="00E3754A">
        <w:rPr>
          <w:lang w:val="en-AU"/>
        </w:rPr>
        <w:t>:</w:t>
      </w:r>
      <w:r w:rsidRPr="00E3754A">
        <w:rPr>
          <w:lang w:val="en-AU"/>
        </w:rPr>
        <w:t xml:space="preserve"> a significant part of human experience that should not be denied on the basis of disability.</w:t>
      </w:r>
    </w:p>
    <w:p w14:paraId="2E342E35" w14:textId="13F0F682" w:rsidR="00E444D8" w:rsidRPr="00E3754A" w:rsidRDefault="00CE2A10" w:rsidP="00E444D8">
      <w:pPr>
        <w:pStyle w:val="NoSpacing"/>
        <w:rPr>
          <w:iCs/>
          <w:lang w:val="en-AU"/>
        </w:rPr>
      </w:pPr>
      <w:r w:rsidRPr="00E3754A">
        <w:rPr>
          <w:iCs/>
          <w:lang w:val="en-AU"/>
        </w:rPr>
        <w:t>Related to the above point, evidence</w:t>
      </w:r>
      <w:r w:rsidR="00CB0B60" w:rsidRPr="00E3754A">
        <w:rPr>
          <w:iCs/>
          <w:lang w:val="en-AU"/>
        </w:rPr>
        <w:t xml:space="preserve"> also</w:t>
      </w:r>
      <w:r w:rsidRPr="00E3754A">
        <w:rPr>
          <w:iCs/>
          <w:lang w:val="en-AU"/>
        </w:rPr>
        <w:t xml:space="preserve"> suggests that employing substituted decision-making in exceptionally difficult cases can have negative consequences (see for example Chan, 2016; Callaghan &amp; Ryan, 2014). In cases where individuals exhibit behaviours of concern (are dangerous to themselves or others), evidence highlights that they are often accommodated in closed environments under current practice, including residential institutions and detention </w:t>
      </w:r>
      <w:r w:rsidR="00373DCE" w:rsidRPr="00E3754A">
        <w:rPr>
          <w:iCs/>
          <w:lang w:val="en-AU"/>
        </w:rPr>
        <w:t>centres</w:t>
      </w:r>
      <w:r w:rsidRPr="00E3754A">
        <w:rPr>
          <w:iCs/>
          <w:lang w:val="en-AU"/>
        </w:rPr>
        <w:t xml:space="preserve"> (Chan, 2016). Chan (2016) highlights that involuntary detention and treatment can </w:t>
      </w:r>
      <w:r w:rsidR="003A28A7" w:rsidRPr="00E3754A">
        <w:rPr>
          <w:iCs/>
          <w:lang w:val="en-AU"/>
        </w:rPr>
        <w:t xml:space="preserve">exacerbate </w:t>
      </w:r>
      <w:r w:rsidRPr="00E3754A">
        <w:rPr>
          <w:iCs/>
          <w:lang w:val="en-AU"/>
        </w:rPr>
        <w:t>concerning behaviour and mental distress in these ‘extremely difficult cases’ rather than improving it by means of other courses of action. Callaghan &amp; Ryan (2014) also raise concern with involuntary hospitalisation, including: persons being subjected to violence in psychiatric wards and that it may lead to increases in suicidal feelings. With regard to mental health, evidence suggests that supported decision-making and support with decision-making has positive effects on treatment outcomes and the relationship disable</w:t>
      </w:r>
      <w:r w:rsidR="00A63479" w:rsidRPr="00E3754A">
        <w:rPr>
          <w:iCs/>
          <w:lang w:val="en-AU"/>
        </w:rPr>
        <w:t>d</w:t>
      </w:r>
      <w:r w:rsidRPr="00E3754A">
        <w:rPr>
          <w:iCs/>
          <w:lang w:val="en-AU"/>
        </w:rPr>
        <w:t xml:space="preserve"> people have with practitioners (Mahone et al., 2011; Morrissey, 2012).</w:t>
      </w:r>
    </w:p>
    <w:tbl>
      <w:tblPr>
        <w:tblStyle w:val="Style5"/>
        <w:tblW w:w="5000" w:type="pct"/>
        <w:tblLook w:val="04A0" w:firstRow="1" w:lastRow="0" w:firstColumn="1" w:lastColumn="0" w:noHBand="0" w:noVBand="1"/>
      </w:tblPr>
      <w:tblGrid>
        <w:gridCol w:w="9236"/>
      </w:tblGrid>
      <w:tr w:rsidR="00E444D8" w:rsidRPr="00E3754A" w14:paraId="23AEC9EC" w14:textId="77777777" w:rsidTr="007D0864">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22DD6D17" w14:textId="2B98D1E8" w:rsidR="00E444D8" w:rsidRPr="00E3754A" w:rsidRDefault="00E444D8" w:rsidP="009679FA">
            <w:pPr>
              <w:pStyle w:val="Heading3"/>
              <w:rPr>
                <w:lang w:val="en-AU"/>
              </w:rPr>
            </w:pPr>
            <w:bookmarkStart w:id="48" w:name="_Toc337970287"/>
            <w:bookmarkStart w:id="49" w:name="_Toc339036853"/>
            <w:r w:rsidRPr="00E3754A">
              <w:rPr>
                <w:lang w:val="en-AU"/>
              </w:rPr>
              <w:t>Can substituted decision-making continue in the age of the Convention?</w:t>
            </w:r>
            <w:bookmarkEnd w:id="48"/>
            <w:bookmarkEnd w:id="49"/>
          </w:p>
        </w:tc>
      </w:tr>
    </w:tbl>
    <w:p w14:paraId="7430098B" w14:textId="55A53598" w:rsidR="00D35FED" w:rsidRDefault="00262218" w:rsidP="00262218">
      <w:pPr>
        <w:pStyle w:val="NoSpacing"/>
        <w:rPr>
          <w:iCs/>
          <w:lang w:val="en-AU"/>
        </w:rPr>
      </w:pPr>
      <w:r w:rsidRPr="00E3754A">
        <w:rPr>
          <w:iCs/>
          <w:lang w:val="en-AU"/>
        </w:rPr>
        <w:t xml:space="preserve">As already established, Article 12 has proved contentious and problematic mostly due to diverse and strongly held views about its implementation and application (see Dawson, 2015; </w:t>
      </w:r>
      <w:r w:rsidR="00181DA5">
        <w:rPr>
          <w:iCs/>
          <w:lang w:val="en-AU"/>
        </w:rPr>
        <w:t xml:space="preserve">Douglass, 2016; </w:t>
      </w:r>
      <w:r w:rsidRPr="00E3754A">
        <w:rPr>
          <w:iCs/>
          <w:lang w:val="en-AU"/>
        </w:rPr>
        <w:t>Martin et al., 2014 compared to Arstein-Kerslake and Flynn, 2015;</w:t>
      </w:r>
      <w:r w:rsidR="00181DA5">
        <w:rPr>
          <w:iCs/>
          <w:lang w:val="en-AU"/>
        </w:rPr>
        <w:t xml:space="preserve"> WNUSP, 2008;</w:t>
      </w:r>
      <w:r w:rsidRPr="00E3754A">
        <w:rPr>
          <w:iCs/>
          <w:lang w:val="en-AU"/>
        </w:rPr>
        <w:t xml:space="preserve"> Minkowitz, 2014). Most significantly, member states generally </w:t>
      </w:r>
      <w:r w:rsidR="00CF6B28" w:rsidRPr="00E3754A">
        <w:rPr>
          <w:iCs/>
          <w:lang w:val="en-AU"/>
        </w:rPr>
        <w:t>have</w:t>
      </w:r>
      <w:r w:rsidR="001B1E9D" w:rsidRPr="00E3754A">
        <w:rPr>
          <w:iCs/>
          <w:lang w:val="en-AU"/>
        </w:rPr>
        <w:t xml:space="preserve"> </w:t>
      </w:r>
      <w:r w:rsidRPr="00E3754A">
        <w:rPr>
          <w:iCs/>
          <w:lang w:val="en-AU"/>
        </w:rPr>
        <w:t xml:space="preserve">statutory provisions for substitute decision-making in cases where </w:t>
      </w:r>
      <w:r w:rsidR="001B1E9D" w:rsidRPr="00E3754A">
        <w:rPr>
          <w:iCs/>
          <w:lang w:val="en-AU"/>
        </w:rPr>
        <w:t>people are</w:t>
      </w:r>
      <w:r w:rsidRPr="00E3754A">
        <w:rPr>
          <w:iCs/>
          <w:lang w:val="en-AU"/>
        </w:rPr>
        <w:t xml:space="preserve"> found to lack the capacity to make </w:t>
      </w:r>
      <w:r w:rsidR="001B1E9D" w:rsidRPr="00E3754A">
        <w:rPr>
          <w:iCs/>
          <w:lang w:val="en-AU"/>
        </w:rPr>
        <w:t>decisions</w:t>
      </w:r>
      <w:r w:rsidRPr="00E3754A">
        <w:rPr>
          <w:iCs/>
          <w:lang w:val="en-AU"/>
        </w:rPr>
        <w:t xml:space="preserve"> for themselves. States </w:t>
      </w:r>
      <w:r w:rsidR="00AF090C" w:rsidRPr="00E3754A">
        <w:rPr>
          <w:iCs/>
          <w:lang w:val="en-AU"/>
        </w:rPr>
        <w:t xml:space="preserve">parties </w:t>
      </w:r>
      <w:r w:rsidRPr="00E3754A">
        <w:rPr>
          <w:iCs/>
          <w:lang w:val="en-AU"/>
        </w:rPr>
        <w:t xml:space="preserve">have struggled to understand what full implementation entails, and have typically resorted to interpretative approaches to legislation that allow existing substituted decision-making legislation and statutory provisions to remain </w:t>
      </w:r>
      <w:r w:rsidR="00453946" w:rsidRPr="00E3754A">
        <w:rPr>
          <w:iCs/>
          <w:lang w:val="en-AU"/>
        </w:rPr>
        <w:t>in situ</w:t>
      </w:r>
      <w:r w:rsidRPr="00E3754A">
        <w:rPr>
          <w:iCs/>
          <w:lang w:val="en-AU"/>
        </w:rPr>
        <w:t xml:space="preserve"> alongside the implementation of models of </w:t>
      </w:r>
      <w:r w:rsidR="001B1E9D" w:rsidRPr="00E3754A">
        <w:rPr>
          <w:iCs/>
          <w:lang w:val="en-AU"/>
        </w:rPr>
        <w:t>supported decision-making</w:t>
      </w:r>
      <w:r w:rsidRPr="00E3754A">
        <w:rPr>
          <w:iCs/>
          <w:lang w:val="en-AU"/>
        </w:rPr>
        <w:t>.</w:t>
      </w:r>
      <w:r w:rsidR="00513649" w:rsidRPr="00E3754A">
        <w:rPr>
          <w:rStyle w:val="FootnoteReference"/>
          <w:iCs/>
          <w:lang w:val="en-AU"/>
        </w:rPr>
        <w:footnoteReference w:id="11"/>
      </w:r>
      <w:r w:rsidRPr="00E3754A">
        <w:rPr>
          <w:iCs/>
          <w:lang w:val="en-AU"/>
        </w:rPr>
        <w:t xml:space="preserve"> In </w:t>
      </w:r>
      <w:r w:rsidR="001B1E9D" w:rsidRPr="00E3754A">
        <w:rPr>
          <w:iCs/>
          <w:lang w:val="en-AU"/>
        </w:rPr>
        <w:t>most</w:t>
      </w:r>
      <w:r w:rsidRPr="00E3754A">
        <w:rPr>
          <w:iCs/>
          <w:lang w:val="en-AU"/>
        </w:rPr>
        <w:t xml:space="preserve"> states – including New Zealand – there has been a legislative assumption that there will always be cases of persons for whom </w:t>
      </w:r>
      <w:r w:rsidR="00A346B4" w:rsidRPr="00E3754A">
        <w:rPr>
          <w:iCs/>
          <w:lang w:val="en-AU"/>
        </w:rPr>
        <w:t>substitute</w:t>
      </w:r>
      <w:r w:rsidRPr="00E3754A">
        <w:rPr>
          <w:iCs/>
          <w:lang w:val="en-AU"/>
        </w:rPr>
        <w:t xml:space="preserve"> decision-making must be undertaken (see Government of Australia, 2012; Government of Canada, 2015; New Zealand Government, 2015). </w:t>
      </w:r>
      <w:r w:rsidR="00880DD2">
        <w:rPr>
          <w:iCs/>
          <w:lang w:val="en-AU"/>
        </w:rPr>
        <w:t xml:space="preserve">Similar approaches are held by authors such as Dawson (2015), </w:t>
      </w:r>
      <w:r w:rsidR="00EB31F5">
        <w:rPr>
          <w:iCs/>
          <w:lang w:val="en-AU"/>
        </w:rPr>
        <w:t>Martin et al. (2014)</w:t>
      </w:r>
      <w:r w:rsidR="00880DD2">
        <w:rPr>
          <w:iCs/>
          <w:lang w:val="en-AU"/>
        </w:rPr>
        <w:t xml:space="preserve">, Douglass (2016) and Douglass et al. (2016), who advocate for adjustments to current frameworks. </w:t>
      </w:r>
      <w:r w:rsidR="00D35FED" w:rsidRPr="00E3754A">
        <w:rPr>
          <w:iCs/>
          <w:lang w:val="en-AU"/>
        </w:rPr>
        <w:t>Dawson (2015) and Martin et al. (2014) argue that, despite the attempt to clarify both the intent and practice of Article 12 and supported decision-making, states parties’ obligations remain ambiguous and inconsistent. They specifically argue that states parties are required to interpret whether the Convention prohibits substituted decision-making. Dawson (2015), for example, proposes a less ‘radical’ interpretation of States parties’ obligation and argues that the Convention can be interpreted as permitting substitute decision-making in exceptional circumstances.</w:t>
      </w:r>
      <w:r w:rsidR="00D35FED">
        <w:rPr>
          <w:iCs/>
          <w:lang w:val="en-AU"/>
        </w:rPr>
        <w:t xml:space="preserve"> Other authors, such as Douglass (2016)</w:t>
      </w:r>
      <w:r w:rsidR="00EB31F5">
        <w:rPr>
          <w:iCs/>
          <w:lang w:val="en-AU"/>
        </w:rPr>
        <w:t>, Douglass et al. (2016),</w:t>
      </w:r>
      <w:r w:rsidR="00D35FED" w:rsidRPr="00E3754A">
        <w:rPr>
          <w:iCs/>
          <w:lang w:val="en-AU"/>
        </w:rPr>
        <w:t xml:space="preserve"> </w:t>
      </w:r>
      <w:r w:rsidR="00D35FED">
        <w:rPr>
          <w:iCs/>
          <w:lang w:val="en-AU"/>
        </w:rPr>
        <w:t xml:space="preserve">and Parker (2016) proceed on the </w:t>
      </w:r>
      <w:r w:rsidR="00290A9D">
        <w:rPr>
          <w:iCs/>
          <w:lang w:val="en-AU"/>
        </w:rPr>
        <w:t>basis</w:t>
      </w:r>
      <w:r w:rsidR="00D35FED">
        <w:rPr>
          <w:iCs/>
          <w:lang w:val="en-AU"/>
        </w:rPr>
        <w:t xml:space="preserve"> that current substituted decision-making mechanisms need to be adjusted, rather than radically departed from.</w:t>
      </w:r>
      <w:r w:rsidR="00EB31F5">
        <w:rPr>
          <w:iCs/>
          <w:lang w:val="en-AU"/>
        </w:rPr>
        <w:t xml:space="preserve"> These interpretative approaches allow for the continuation of substituted decision-making and best interests frameworks that many states parties execute in law, policy, and practice</w:t>
      </w:r>
      <w:r w:rsidR="001D568D">
        <w:rPr>
          <w:iCs/>
          <w:lang w:val="en-AU"/>
        </w:rPr>
        <w:t>. I</w:t>
      </w:r>
      <w:r w:rsidR="00EB31F5">
        <w:rPr>
          <w:iCs/>
          <w:lang w:val="en-AU"/>
        </w:rPr>
        <w:t>f these positions were</w:t>
      </w:r>
      <w:r w:rsidR="00EB31F5" w:rsidRPr="00E3754A">
        <w:rPr>
          <w:iCs/>
          <w:lang w:val="en-AU"/>
        </w:rPr>
        <w:t xml:space="preserve"> adhered to, </w:t>
      </w:r>
      <w:r w:rsidR="00EB31F5">
        <w:rPr>
          <w:iCs/>
          <w:lang w:val="en-AU"/>
        </w:rPr>
        <w:t xml:space="preserve">for example, the </w:t>
      </w:r>
      <w:r w:rsidR="00EB31F5" w:rsidRPr="00E3754A">
        <w:rPr>
          <w:iCs/>
          <w:lang w:val="en-AU"/>
        </w:rPr>
        <w:t>continuation of legal capacity tests, involuntary treatment, and involuntary detention would all be permitte</w:t>
      </w:r>
      <w:r w:rsidR="00EB31F5">
        <w:rPr>
          <w:iCs/>
          <w:lang w:val="en-AU"/>
        </w:rPr>
        <w:t>d in exceptional circumstances.</w:t>
      </w:r>
    </w:p>
    <w:p w14:paraId="24832754" w14:textId="0A947D3B" w:rsidR="00262218" w:rsidRPr="00E3754A" w:rsidRDefault="00606D35" w:rsidP="00262218">
      <w:pPr>
        <w:pStyle w:val="NoSpacing"/>
        <w:rPr>
          <w:iCs/>
          <w:lang w:val="en-AU"/>
        </w:rPr>
      </w:pPr>
      <w:r>
        <w:rPr>
          <w:iCs/>
          <w:lang w:val="en-AU"/>
        </w:rPr>
        <w:t>However</w:t>
      </w:r>
      <w:r w:rsidRPr="00E3754A">
        <w:rPr>
          <w:iCs/>
          <w:lang w:val="en-AU"/>
        </w:rPr>
        <w:t>, if implemented according to the interpretation contained in General Comment</w:t>
      </w:r>
      <w:r>
        <w:rPr>
          <w:iCs/>
          <w:lang w:val="en-AU"/>
        </w:rPr>
        <w:t xml:space="preserve"> No. 1 and</w:t>
      </w:r>
      <w:r w:rsidRPr="00E3754A">
        <w:rPr>
          <w:iCs/>
          <w:lang w:val="en-AU"/>
        </w:rPr>
        <w:t xml:space="preserve"> Article 12</w:t>
      </w:r>
      <w:r>
        <w:rPr>
          <w:iCs/>
          <w:lang w:val="en-AU"/>
        </w:rPr>
        <w:t>,</w:t>
      </w:r>
      <w:r w:rsidRPr="00E3754A">
        <w:rPr>
          <w:iCs/>
          <w:lang w:val="en-AU"/>
        </w:rPr>
        <w:t xml:space="preserve"> the Convention eliminates that possibility. </w:t>
      </w:r>
      <w:r w:rsidR="00880DD2">
        <w:rPr>
          <w:iCs/>
          <w:lang w:val="en-AU"/>
        </w:rPr>
        <w:t>As discussed earlier, a large body of literature (especially the literature of authors who had insight or involvement in constructing the Convention) st</w:t>
      </w:r>
      <w:r w:rsidR="00ED0EF8">
        <w:rPr>
          <w:iCs/>
          <w:lang w:val="en-AU"/>
        </w:rPr>
        <w:t>r</w:t>
      </w:r>
      <w:r w:rsidR="00880DD2">
        <w:rPr>
          <w:iCs/>
          <w:lang w:val="en-AU"/>
        </w:rPr>
        <w:t xml:space="preserve">ongly contrasts with these interpretations and poses that radical departure from </w:t>
      </w:r>
      <w:r w:rsidR="00FA4B07">
        <w:rPr>
          <w:iCs/>
          <w:lang w:val="en-AU"/>
        </w:rPr>
        <w:t>the current</w:t>
      </w:r>
      <w:r w:rsidR="00880DD2">
        <w:rPr>
          <w:iCs/>
          <w:lang w:val="en-AU"/>
        </w:rPr>
        <w:t xml:space="preserve"> prevailing norms and paradigms is </w:t>
      </w:r>
      <w:r w:rsidR="00290A9D">
        <w:rPr>
          <w:iCs/>
          <w:lang w:val="en-AU"/>
        </w:rPr>
        <w:t>critical</w:t>
      </w:r>
      <w:r w:rsidR="00880DD2">
        <w:rPr>
          <w:iCs/>
          <w:lang w:val="en-AU"/>
        </w:rPr>
        <w:t xml:space="preserve"> </w:t>
      </w:r>
      <w:r w:rsidR="00FA4B07">
        <w:rPr>
          <w:iCs/>
          <w:lang w:val="en-AU"/>
        </w:rPr>
        <w:t>to</w:t>
      </w:r>
      <w:r w:rsidR="00880DD2">
        <w:rPr>
          <w:iCs/>
          <w:lang w:val="en-AU"/>
        </w:rPr>
        <w:t xml:space="preserve"> giving effect to the Convention (see the manual provided by WNUSP and the Handbook for Parliamentarians, Byrnes et al., 2007, and </w:t>
      </w:r>
      <w:r w:rsidR="00880DD2">
        <w:rPr>
          <w:rFonts w:eastAsia="Times New Roman" w:cs="Times New Roman"/>
        </w:rPr>
        <w:t xml:space="preserve">Arstein-Kerslake &amp; Flynn, 2015; </w:t>
      </w:r>
      <w:r w:rsidR="00880DD2">
        <w:rPr>
          <w:iCs/>
          <w:lang w:val="en-AU"/>
        </w:rPr>
        <w:t>Bach &amp; Kerzner, 2010; Minkowitz, 2013; Watson, 2016a).</w:t>
      </w:r>
      <w:r>
        <w:rPr>
          <w:iCs/>
          <w:lang w:val="en-AU"/>
        </w:rPr>
        <w:t xml:space="preserve"> </w:t>
      </w:r>
      <w:r w:rsidR="001D568D">
        <w:rPr>
          <w:iCs/>
          <w:lang w:val="en-AU"/>
        </w:rPr>
        <w:t xml:space="preserve">The retention of </w:t>
      </w:r>
      <w:r w:rsidR="00262218" w:rsidRPr="00E3754A">
        <w:rPr>
          <w:iCs/>
          <w:lang w:val="en-AU"/>
        </w:rPr>
        <w:t>substituted decision-making provisions, in the view of the U</w:t>
      </w:r>
      <w:r w:rsidR="00D10D35" w:rsidRPr="00E3754A">
        <w:rPr>
          <w:iCs/>
          <w:lang w:val="en-AU"/>
        </w:rPr>
        <w:t xml:space="preserve">nited </w:t>
      </w:r>
      <w:r w:rsidR="00262218" w:rsidRPr="00E3754A">
        <w:rPr>
          <w:iCs/>
          <w:lang w:val="en-AU"/>
        </w:rPr>
        <w:t>N</w:t>
      </w:r>
      <w:r w:rsidR="00D10D35" w:rsidRPr="00E3754A">
        <w:rPr>
          <w:iCs/>
          <w:lang w:val="en-AU"/>
        </w:rPr>
        <w:t xml:space="preserve">ations, </w:t>
      </w:r>
      <w:r w:rsidR="0075647D">
        <w:rPr>
          <w:iCs/>
          <w:lang w:val="en-AU"/>
        </w:rPr>
        <w:t xml:space="preserve">the </w:t>
      </w:r>
      <w:r w:rsidR="00D10D35" w:rsidRPr="00E3754A">
        <w:rPr>
          <w:iCs/>
          <w:lang w:val="en-AU"/>
        </w:rPr>
        <w:t xml:space="preserve">Committee on the Rights of Persons with Disabilities, </w:t>
      </w:r>
      <w:r w:rsidR="00262218" w:rsidRPr="00E3754A">
        <w:rPr>
          <w:iCs/>
          <w:lang w:val="en-AU"/>
        </w:rPr>
        <w:t xml:space="preserve">and many other commentators, does not meet the intention of Article 12 and </w:t>
      </w:r>
      <w:r w:rsidR="00453946" w:rsidRPr="00E3754A">
        <w:rPr>
          <w:iCs/>
          <w:lang w:val="en-AU"/>
        </w:rPr>
        <w:t>subsequently</w:t>
      </w:r>
      <w:r w:rsidR="00262218" w:rsidRPr="00E3754A">
        <w:rPr>
          <w:iCs/>
          <w:lang w:val="en-AU"/>
        </w:rPr>
        <w:t xml:space="preserve"> makes it difficult to achieve other Articles and obligations contained within the Convention (Minkowitz, 2014; Pathare &amp; Shields; 2012; Quinn, 2010).</w:t>
      </w:r>
      <w:r w:rsidRPr="00606D35">
        <w:rPr>
          <w:iCs/>
          <w:lang w:val="en-AU"/>
        </w:rPr>
        <w:t xml:space="preserve"> </w:t>
      </w:r>
      <w:r>
        <w:rPr>
          <w:iCs/>
          <w:lang w:val="en-AU"/>
        </w:rPr>
        <w:t xml:space="preserve">In this sense, there </w:t>
      </w:r>
      <w:r w:rsidR="001D568D">
        <w:rPr>
          <w:iCs/>
          <w:lang w:val="en-AU"/>
        </w:rPr>
        <w:t>is</w:t>
      </w:r>
      <w:r>
        <w:rPr>
          <w:iCs/>
          <w:lang w:val="en-AU"/>
        </w:rPr>
        <w:t xml:space="preserve"> </w:t>
      </w:r>
      <w:r w:rsidR="001D568D">
        <w:rPr>
          <w:iCs/>
          <w:lang w:val="en-AU"/>
        </w:rPr>
        <w:t xml:space="preserve">a </w:t>
      </w:r>
      <w:r>
        <w:rPr>
          <w:iCs/>
          <w:lang w:val="en-AU"/>
        </w:rPr>
        <w:t xml:space="preserve">significant </w:t>
      </w:r>
      <w:r w:rsidR="001D568D">
        <w:rPr>
          <w:iCs/>
          <w:lang w:val="en-AU"/>
        </w:rPr>
        <w:t>gap between</w:t>
      </w:r>
      <w:r>
        <w:rPr>
          <w:iCs/>
          <w:lang w:val="en-AU"/>
        </w:rPr>
        <w:t xml:space="preserve"> </w:t>
      </w:r>
      <w:r w:rsidR="001D568D">
        <w:rPr>
          <w:iCs/>
          <w:lang w:val="en-AU"/>
        </w:rPr>
        <w:t>contributors to the literature who support a</w:t>
      </w:r>
      <w:r>
        <w:rPr>
          <w:iCs/>
          <w:lang w:val="en-AU"/>
        </w:rPr>
        <w:t xml:space="preserve"> radical </w:t>
      </w:r>
      <w:r w:rsidR="001D568D">
        <w:rPr>
          <w:iCs/>
          <w:lang w:val="en-AU"/>
        </w:rPr>
        <w:t>interpretation of the</w:t>
      </w:r>
      <w:r>
        <w:rPr>
          <w:iCs/>
          <w:lang w:val="en-AU"/>
        </w:rPr>
        <w:t xml:space="preserve"> Convention and states parties’ </w:t>
      </w:r>
      <w:r w:rsidR="00290A9D">
        <w:rPr>
          <w:iCs/>
          <w:lang w:val="en-AU"/>
        </w:rPr>
        <w:t xml:space="preserve">more </w:t>
      </w:r>
      <w:r>
        <w:rPr>
          <w:iCs/>
          <w:lang w:val="en-AU"/>
        </w:rPr>
        <w:t>conservative interpretations.</w:t>
      </w:r>
    </w:p>
    <w:p w14:paraId="56888998" w14:textId="77777777" w:rsidR="00262218" w:rsidRPr="00E3754A" w:rsidRDefault="00262218" w:rsidP="00262218">
      <w:pPr>
        <w:pStyle w:val="NoSpacing"/>
        <w:rPr>
          <w:iCs/>
          <w:lang w:val="en-AU"/>
        </w:rPr>
      </w:pPr>
      <w:r w:rsidRPr="00E3754A">
        <w:rPr>
          <w:iCs/>
          <w:lang w:val="en-AU"/>
        </w:rPr>
        <w:t>As is stated by the General comment:</w:t>
      </w:r>
    </w:p>
    <w:p w14:paraId="4F138261" w14:textId="77777777" w:rsidR="00262218" w:rsidRPr="00E3754A" w:rsidRDefault="00262218" w:rsidP="00B65E4B">
      <w:pPr>
        <w:pStyle w:val="Quote"/>
        <w:rPr>
          <w:lang w:val="en-AU"/>
        </w:rPr>
      </w:pPr>
      <w:r w:rsidRPr="00E3754A">
        <w:rPr>
          <w:lang w:val="en-AU"/>
        </w:rPr>
        <w:t xml:space="preserve">States parties’ obligation to replace substitute decision-making regimes by supported decision-making requires both the abolition of substitute decision-making regimes and the development of supported decision-making alternatives. </w:t>
      </w:r>
      <w:r w:rsidRPr="00E3754A">
        <w:rPr>
          <w:color w:val="000000" w:themeColor="text1"/>
          <w:lang w:val="en-AU"/>
        </w:rPr>
        <w:t>(para. 28)</w:t>
      </w:r>
    </w:p>
    <w:p w14:paraId="3A7DAE3D" w14:textId="77777777" w:rsidR="00262218" w:rsidRPr="00E3754A" w:rsidRDefault="00262218" w:rsidP="00B65E4B">
      <w:pPr>
        <w:pStyle w:val="Quote"/>
        <w:rPr>
          <w:lang w:val="en-AU"/>
        </w:rPr>
      </w:pPr>
      <w:r w:rsidRPr="00E3754A">
        <w:rPr>
          <w:lang w:val="en-AU"/>
        </w:rPr>
        <w:t xml:space="preserve">At all times, including in crisis situations, the individual autonomy and capacity of persons with disabilities to make decisions must be respected. </w:t>
      </w:r>
      <w:r w:rsidRPr="00E3754A">
        <w:rPr>
          <w:color w:val="000000" w:themeColor="text1"/>
          <w:lang w:val="en-AU"/>
        </w:rPr>
        <w:t>(para. 18)</w:t>
      </w:r>
      <w:r w:rsidRPr="00E3754A">
        <w:rPr>
          <w:lang w:val="en-AU"/>
        </w:rPr>
        <w:t xml:space="preserve"> </w:t>
      </w:r>
    </w:p>
    <w:p w14:paraId="02921C53" w14:textId="77777777" w:rsidR="00262218" w:rsidRPr="00E3754A" w:rsidRDefault="00262218" w:rsidP="00B65E4B">
      <w:pPr>
        <w:pStyle w:val="Quote"/>
        <w:rPr>
          <w:rStyle w:val="SubtleEmphasis"/>
          <w:lang w:val="en-AU"/>
        </w:rPr>
      </w:pPr>
      <w:r w:rsidRPr="00E3754A">
        <w:rPr>
          <w:lang w:val="en-AU"/>
        </w:rPr>
        <w:t xml:space="preserve">[support] should never amount to substitute decision-making. </w:t>
      </w:r>
      <w:r w:rsidRPr="00E3754A">
        <w:rPr>
          <w:color w:val="000000" w:themeColor="text1"/>
          <w:lang w:val="en-AU"/>
        </w:rPr>
        <w:t>(para. 17)</w:t>
      </w:r>
    </w:p>
    <w:p w14:paraId="3A555E8A" w14:textId="59747FC0" w:rsidR="00262218" w:rsidRPr="00E3754A" w:rsidRDefault="00262218" w:rsidP="00262218">
      <w:pPr>
        <w:pStyle w:val="NoSpacing"/>
        <w:rPr>
          <w:iCs/>
          <w:lang w:val="en-AU"/>
        </w:rPr>
      </w:pPr>
      <w:r w:rsidRPr="00E3754A">
        <w:rPr>
          <w:iCs/>
          <w:lang w:val="en-AU"/>
        </w:rPr>
        <w:t>De</w:t>
      </w:r>
      <w:r w:rsidR="00483E57" w:rsidRPr="00E3754A">
        <w:rPr>
          <w:iCs/>
          <w:lang w:val="en-AU"/>
        </w:rPr>
        <w:t xml:space="preserve">spite this strong articulation, and as previously mentioned in this report, </w:t>
      </w:r>
      <w:r w:rsidRPr="00E3754A">
        <w:rPr>
          <w:iCs/>
          <w:lang w:val="en-AU"/>
        </w:rPr>
        <w:t xml:space="preserve">there is debate as to the extent that this obligation under the Convention is </w:t>
      </w:r>
      <w:r w:rsidR="009A31CE">
        <w:rPr>
          <w:iCs/>
          <w:lang w:val="en-AU"/>
        </w:rPr>
        <w:t xml:space="preserve">an </w:t>
      </w:r>
      <w:r w:rsidRPr="00E3754A">
        <w:rPr>
          <w:iCs/>
          <w:lang w:val="en-AU"/>
        </w:rPr>
        <w:t xml:space="preserve">appropriate </w:t>
      </w:r>
      <w:r w:rsidR="009A31CE">
        <w:rPr>
          <w:iCs/>
          <w:lang w:val="en-AU"/>
        </w:rPr>
        <w:t xml:space="preserve">obligation at all </w:t>
      </w:r>
      <w:r w:rsidRPr="00E3754A">
        <w:rPr>
          <w:iCs/>
          <w:lang w:val="en-AU"/>
        </w:rPr>
        <w:t xml:space="preserve">(as is highlighted by Devi, 2013). Those on one side of the debate (which aligns with </w:t>
      </w:r>
      <w:r w:rsidR="001B1E9D" w:rsidRPr="00E3754A">
        <w:rPr>
          <w:iCs/>
          <w:lang w:val="en-AU"/>
        </w:rPr>
        <w:t xml:space="preserve">the actions already taken by a number of </w:t>
      </w:r>
      <w:r w:rsidRPr="00E3754A">
        <w:rPr>
          <w:iCs/>
          <w:lang w:val="en-AU"/>
        </w:rPr>
        <w:t>member states) argue that substituted decision-making is necessary in exceptional circumstances</w:t>
      </w:r>
      <w:r w:rsidR="009A31CE">
        <w:rPr>
          <w:iCs/>
          <w:lang w:val="en-AU"/>
        </w:rPr>
        <w:t xml:space="preserve"> and that is it unreasonable to abolish measures within the framework</w:t>
      </w:r>
      <w:r w:rsidR="00BB73F1">
        <w:rPr>
          <w:iCs/>
          <w:lang w:val="en-AU"/>
        </w:rPr>
        <w:t xml:space="preserve"> (</w:t>
      </w:r>
      <w:r w:rsidR="002F40F5">
        <w:rPr>
          <w:iCs/>
          <w:lang w:val="en-AU"/>
        </w:rPr>
        <w:t>see for example Dawson, 2015)</w:t>
      </w:r>
      <w:r w:rsidRPr="00E3754A">
        <w:rPr>
          <w:iCs/>
          <w:lang w:val="en-AU"/>
        </w:rPr>
        <w:t xml:space="preserve">. Those on the other side of the debate argue that all circumstances, including exceptional circumstances, can be addressed through strategies of supported decision-making and a commitment </w:t>
      </w:r>
      <w:r w:rsidR="00B815B0" w:rsidRPr="00E3754A">
        <w:rPr>
          <w:iCs/>
          <w:lang w:val="en-AU"/>
        </w:rPr>
        <w:t xml:space="preserve">to </w:t>
      </w:r>
      <w:r w:rsidR="001B1E9D" w:rsidRPr="00E3754A">
        <w:rPr>
          <w:iCs/>
          <w:lang w:val="en-AU"/>
        </w:rPr>
        <w:t>the</w:t>
      </w:r>
      <w:r w:rsidRPr="00E3754A">
        <w:rPr>
          <w:iCs/>
          <w:lang w:val="en-AU"/>
        </w:rPr>
        <w:t xml:space="preserve"> empowerment</w:t>
      </w:r>
      <w:r w:rsidR="001B1E9D" w:rsidRPr="00E3754A">
        <w:rPr>
          <w:iCs/>
          <w:lang w:val="en-AU"/>
        </w:rPr>
        <w:t xml:space="preserve"> </w:t>
      </w:r>
      <w:r w:rsidR="00C85390" w:rsidRPr="00E3754A">
        <w:rPr>
          <w:iCs/>
          <w:lang w:val="en-AU"/>
        </w:rPr>
        <w:t xml:space="preserve">of </w:t>
      </w:r>
      <w:r w:rsidR="001B1E9D" w:rsidRPr="00E3754A">
        <w:rPr>
          <w:iCs/>
          <w:lang w:val="en-AU"/>
        </w:rPr>
        <w:t>disabled people</w:t>
      </w:r>
      <w:r w:rsidR="008C753B">
        <w:rPr>
          <w:iCs/>
          <w:lang w:val="en-AU"/>
        </w:rPr>
        <w:t xml:space="preserve">, and </w:t>
      </w:r>
      <w:r w:rsidR="001D568D">
        <w:rPr>
          <w:iCs/>
          <w:lang w:val="en-AU"/>
        </w:rPr>
        <w:t>is therefore</w:t>
      </w:r>
      <w:r w:rsidR="008C753B">
        <w:rPr>
          <w:iCs/>
          <w:lang w:val="en-AU"/>
        </w:rPr>
        <w:t xml:space="preserve"> a reasonable obligation that respects the dignity of </w:t>
      </w:r>
      <w:r w:rsidR="00E4785E">
        <w:rPr>
          <w:iCs/>
          <w:lang w:val="en-AU"/>
        </w:rPr>
        <w:t>disabled people</w:t>
      </w:r>
      <w:r w:rsidR="002F40F5">
        <w:rPr>
          <w:iCs/>
          <w:lang w:val="en-AU"/>
        </w:rPr>
        <w:t xml:space="preserve"> (see for example Arstein-Kerslake &amp; Flynn, 2015; Kohn et al., 2014)</w:t>
      </w:r>
      <w:r w:rsidRPr="00E3754A">
        <w:rPr>
          <w:iCs/>
          <w:lang w:val="en-AU"/>
        </w:rPr>
        <w:t>.</w:t>
      </w:r>
      <w:r w:rsidR="001E5D10">
        <w:rPr>
          <w:iCs/>
          <w:lang w:val="en-AU"/>
        </w:rPr>
        <w:t xml:space="preserve"> This issue of contention is raised in the following sections.</w:t>
      </w:r>
    </w:p>
    <w:p w14:paraId="65755687" w14:textId="7D4AD514" w:rsidR="00262218" w:rsidRPr="00E3754A" w:rsidRDefault="00262218" w:rsidP="00262218">
      <w:pPr>
        <w:pStyle w:val="NoSpacing"/>
        <w:rPr>
          <w:iCs/>
          <w:lang w:val="en-AU"/>
        </w:rPr>
      </w:pPr>
      <w:r w:rsidRPr="00E3754A">
        <w:rPr>
          <w:iCs/>
          <w:lang w:val="en-AU"/>
        </w:rPr>
        <w:t xml:space="preserve">The research literature identifies </w:t>
      </w:r>
      <w:r w:rsidR="006D2170" w:rsidRPr="00E3754A">
        <w:rPr>
          <w:iCs/>
          <w:lang w:val="en-AU"/>
        </w:rPr>
        <w:t>a number of</w:t>
      </w:r>
      <w:r w:rsidRPr="00E3754A">
        <w:rPr>
          <w:iCs/>
          <w:lang w:val="en-AU"/>
        </w:rPr>
        <w:t xml:space="preserve"> circumstances where the exercise of legal capacity, in accordance with will and preference, may be problematic. The first of these is where a person does not understand a decision, its related factors, or their relationship to the decision (Werner, 2012). Concern has been raised about circumstances where persons may not be able to understand the gravity of the decision they are making or the danger that may be involved with it (Gooding, 2015). Research has indicated that it can be particularly difficult for disabled people to make decisions based on a sense of magnitude (such as an amount of money) or delay (consequences that are not immediate) (Werner, 2012). Relatedly, Smetanka (2015) notes that disabled persons, along with </w:t>
      </w:r>
      <w:r w:rsidR="00D86544">
        <w:rPr>
          <w:iCs/>
          <w:lang w:val="en-AU"/>
        </w:rPr>
        <w:t>older people</w:t>
      </w:r>
      <w:r w:rsidRPr="00E3754A">
        <w:rPr>
          <w:iCs/>
          <w:lang w:val="en-AU"/>
        </w:rPr>
        <w:t>, are a group targeted at higher rates for financial abuse because of these gaps in understanding. The notion of ‘executive functioning’, involving more complex cognitive processes such as time and task prioriti</w:t>
      </w:r>
      <w:r w:rsidR="00B70343" w:rsidRPr="00E3754A">
        <w:rPr>
          <w:iCs/>
          <w:lang w:val="en-AU"/>
        </w:rPr>
        <w:t>s</w:t>
      </w:r>
      <w:r w:rsidRPr="00E3754A">
        <w:rPr>
          <w:iCs/>
          <w:lang w:val="en-AU"/>
        </w:rPr>
        <w:t>ation and management has also been raised due to a recognition that some people experience difficulty in these areas (Werner, 2012). Werner (2012) also notes that people with more complex and significant intellectual disabilities may not be aware of their role in the decision-making process</w:t>
      </w:r>
      <w:r w:rsidR="009804E9" w:rsidRPr="00E3754A">
        <w:rPr>
          <w:iCs/>
          <w:lang w:val="en-AU"/>
        </w:rPr>
        <w:t xml:space="preserve">. </w:t>
      </w:r>
    </w:p>
    <w:p w14:paraId="63077CE8" w14:textId="12C9FBB4" w:rsidR="00A91ECD" w:rsidRPr="00E3754A" w:rsidRDefault="00A91ECD" w:rsidP="00A91ECD">
      <w:pPr>
        <w:pStyle w:val="Heading4"/>
        <w:rPr>
          <w:lang w:val="en-AU"/>
        </w:rPr>
      </w:pPr>
      <w:r w:rsidRPr="00E3754A">
        <w:rPr>
          <w:lang w:val="en-AU"/>
        </w:rPr>
        <w:t>Considerations of risk</w:t>
      </w:r>
    </w:p>
    <w:p w14:paraId="61856277" w14:textId="3E053759" w:rsidR="00262218" w:rsidRPr="00E3754A" w:rsidRDefault="006D2170" w:rsidP="00262218">
      <w:pPr>
        <w:pStyle w:val="NoSpacing"/>
        <w:rPr>
          <w:iCs/>
          <w:lang w:val="en-AU"/>
        </w:rPr>
      </w:pPr>
      <w:r w:rsidRPr="00E3754A">
        <w:rPr>
          <w:iCs/>
          <w:lang w:val="en-AU"/>
        </w:rPr>
        <w:t>Some commentators also</w:t>
      </w:r>
      <w:r w:rsidR="00262218" w:rsidRPr="00E3754A">
        <w:rPr>
          <w:iCs/>
          <w:lang w:val="en-AU"/>
        </w:rPr>
        <w:t xml:space="preserve"> argue that persons who are dangerous to themselves and/or others ought not to be able to realise choices that are harmful to their personal welfare or integrity, or harmful to the personal welfare or </w:t>
      </w:r>
      <w:r w:rsidR="00373DCE" w:rsidRPr="00E3754A">
        <w:rPr>
          <w:iCs/>
          <w:lang w:val="en-AU"/>
        </w:rPr>
        <w:t>integrity</w:t>
      </w:r>
      <w:r w:rsidR="00262218" w:rsidRPr="00E3754A">
        <w:rPr>
          <w:iCs/>
          <w:lang w:val="en-AU"/>
        </w:rPr>
        <w:t xml:space="preserve"> of others (see Chan, 2016; Gooding, 2013; Callaghan &amp; Ryan, 2014). One of these circumstances is where a person may make decisions that are so palpably unwise that to allow them to continue with the exercise of such choice abdicates the duty of care that has traditionally been owed to them (see Dawson, 2015; Richardson, 2012; Series, 2015; Callaghan &amp; Ryan, 2014). Another related </w:t>
      </w:r>
      <w:r w:rsidR="00FA30D7" w:rsidRPr="00E3754A">
        <w:rPr>
          <w:iCs/>
          <w:lang w:val="en-AU"/>
        </w:rPr>
        <w:t>circumstance</w:t>
      </w:r>
      <w:r w:rsidR="00262218" w:rsidRPr="00E3754A">
        <w:rPr>
          <w:iCs/>
          <w:lang w:val="en-AU"/>
        </w:rPr>
        <w:t xml:space="preserve"> is where allowing the autonomous exercise of will and preference would risk harm to others; in this regard, the curtailment of autonomy is usually applied to persons with mental illness, subject to compulsion under the Mental Health</w:t>
      </w:r>
      <w:r w:rsidR="00D86544">
        <w:rPr>
          <w:iCs/>
          <w:lang w:val="en-AU"/>
        </w:rPr>
        <w:t xml:space="preserve"> (Compulsory Assessment and Treatment)</w:t>
      </w:r>
      <w:r w:rsidR="00262218" w:rsidRPr="00E3754A">
        <w:rPr>
          <w:iCs/>
          <w:lang w:val="en-AU"/>
        </w:rPr>
        <w:t xml:space="preserve"> Act </w:t>
      </w:r>
      <w:r w:rsidR="008C714F" w:rsidRPr="00E3754A">
        <w:rPr>
          <w:iCs/>
          <w:lang w:val="en-AU"/>
        </w:rPr>
        <w:t>1992</w:t>
      </w:r>
      <w:r w:rsidRPr="00E3754A">
        <w:rPr>
          <w:iCs/>
          <w:lang w:val="en-AU"/>
        </w:rPr>
        <w:t xml:space="preserve"> </w:t>
      </w:r>
      <w:r w:rsidR="00262218" w:rsidRPr="00E3754A">
        <w:rPr>
          <w:iCs/>
          <w:lang w:val="en-AU"/>
        </w:rPr>
        <w:t xml:space="preserve">(or similar legislation) or the provisions of criminal justice legislation, for example the Intellectual Disability </w:t>
      </w:r>
      <w:r w:rsidR="00D86544">
        <w:rPr>
          <w:iCs/>
          <w:lang w:val="en-AU"/>
        </w:rPr>
        <w:t>(</w:t>
      </w:r>
      <w:r w:rsidR="00262218" w:rsidRPr="00E3754A">
        <w:rPr>
          <w:iCs/>
          <w:lang w:val="en-AU"/>
        </w:rPr>
        <w:t>Compulsory Care and Rehabilitation</w:t>
      </w:r>
      <w:r w:rsidR="00D86544">
        <w:rPr>
          <w:iCs/>
          <w:lang w:val="en-AU"/>
        </w:rPr>
        <w:t>)</w:t>
      </w:r>
      <w:r w:rsidR="00262218" w:rsidRPr="00E3754A">
        <w:rPr>
          <w:iCs/>
          <w:lang w:val="en-AU"/>
        </w:rPr>
        <w:t xml:space="preserve"> Act</w:t>
      </w:r>
      <w:r w:rsidR="00D86544">
        <w:rPr>
          <w:iCs/>
          <w:lang w:val="en-AU"/>
        </w:rPr>
        <w:t xml:space="preserve"> 2003</w:t>
      </w:r>
      <w:r w:rsidR="00262218" w:rsidRPr="00E3754A">
        <w:rPr>
          <w:iCs/>
          <w:lang w:val="en-AU"/>
        </w:rPr>
        <w:t xml:space="preserve"> in the New Zealand context. Certainly, in New Zealand, human rights legislation permits exceptions to the exercise of human rights where there is a risk of harm (whether to self or others) (H</w:t>
      </w:r>
      <w:r w:rsidR="00D86544">
        <w:rPr>
          <w:iCs/>
          <w:lang w:val="en-AU"/>
        </w:rPr>
        <w:t>uman Rights Act 1993</w:t>
      </w:r>
      <w:r w:rsidR="00262218" w:rsidRPr="00E3754A">
        <w:rPr>
          <w:iCs/>
          <w:lang w:val="en-AU"/>
        </w:rPr>
        <w:t xml:space="preserve">, Part 2, various sections) because abandoning considerations of risk (to others) entirely may jeopardise the autonomy of others. </w:t>
      </w:r>
    </w:p>
    <w:p w14:paraId="3B28A95D" w14:textId="692924F3" w:rsidR="00B708FB" w:rsidRPr="00E3754A" w:rsidRDefault="00262218" w:rsidP="008515F6">
      <w:pPr>
        <w:pStyle w:val="NoSpacing"/>
        <w:rPr>
          <w:iCs/>
          <w:lang w:val="en-AU"/>
        </w:rPr>
      </w:pPr>
      <w:r w:rsidRPr="00E3754A">
        <w:rPr>
          <w:iCs/>
          <w:lang w:val="en-AU"/>
        </w:rPr>
        <w:t>A key area where risk of harm to self and harm to others fuses in a potentially problematic way is the compulsory confinement of those with learning disabilities, whether as a prisoner, specia</w:t>
      </w:r>
      <w:r w:rsidR="00CD24EA" w:rsidRPr="00E3754A">
        <w:rPr>
          <w:iCs/>
          <w:lang w:val="en-AU"/>
        </w:rPr>
        <w:t xml:space="preserve">l patient, or former prisoner or </w:t>
      </w:r>
      <w:r w:rsidRPr="00E3754A">
        <w:rPr>
          <w:iCs/>
          <w:lang w:val="en-AU"/>
        </w:rPr>
        <w:t>special patient</w:t>
      </w:r>
      <w:r w:rsidR="009804E9" w:rsidRPr="00E3754A">
        <w:rPr>
          <w:iCs/>
          <w:lang w:val="en-AU"/>
        </w:rPr>
        <w:t xml:space="preserve">. </w:t>
      </w:r>
      <w:r w:rsidRPr="00E3754A">
        <w:rPr>
          <w:iCs/>
          <w:lang w:val="en-AU"/>
        </w:rPr>
        <w:t>In New Zealand, such cases are governed by the Intellectual Disability (Compulsory Care and Rehabilitation) Act 2003</w:t>
      </w:r>
      <w:r w:rsidR="009804E9" w:rsidRPr="00E3754A">
        <w:rPr>
          <w:iCs/>
          <w:lang w:val="en-AU"/>
        </w:rPr>
        <w:t xml:space="preserve">. </w:t>
      </w:r>
      <w:r w:rsidRPr="00E3754A">
        <w:rPr>
          <w:iCs/>
          <w:lang w:val="en-AU"/>
        </w:rPr>
        <w:t>In common with compulsory treatment orders under the Mental Health Act, a ‘care’ recipient is required to accept care (Pt. 5, s.47), and there are clear tensions here between the domestic legislation and the provisions of the Convention</w:t>
      </w:r>
      <w:r w:rsidR="009804E9" w:rsidRPr="00E3754A">
        <w:rPr>
          <w:iCs/>
          <w:lang w:val="en-AU"/>
        </w:rPr>
        <w:t xml:space="preserve">. </w:t>
      </w:r>
      <w:r w:rsidRPr="00E3754A">
        <w:rPr>
          <w:iCs/>
          <w:lang w:val="en-AU"/>
        </w:rPr>
        <w:t xml:space="preserve">Whilst the provisions of the </w:t>
      </w:r>
      <w:r w:rsidR="00D86544">
        <w:rPr>
          <w:iCs/>
          <w:lang w:val="en-AU"/>
        </w:rPr>
        <w:t>Intellectual Disability (Compulsory Care and Rehabilitation) Act 2003</w:t>
      </w:r>
      <w:r w:rsidR="00D86544" w:rsidRPr="00E3754A">
        <w:rPr>
          <w:iCs/>
          <w:lang w:val="en-AU"/>
        </w:rPr>
        <w:t xml:space="preserve"> </w:t>
      </w:r>
      <w:r w:rsidRPr="00E3754A">
        <w:rPr>
          <w:iCs/>
          <w:lang w:val="en-AU"/>
        </w:rPr>
        <w:t>are articulated in terms of ‘care’ and ‘need’, the practicalities require that a care manager</w:t>
      </w:r>
      <w:r w:rsidR="009E65CB" w:rsidRPr="00E3754A">
        <w:rPr>
          <w:iCs/>
          <w:lang w:val="en-AU"/>
        </w:rPr>
        <w:t xml:space="preserve"> specify the terms under which</w:t>
      </w:r>
      <w:r w:rsidRPr="00E3754A">
        <w:rPr>
          <w:iCs/>
          <w:lang w:val="en-AU"/>
        </w:rPr>
        <w:t xml:space="preserve"> care recipient conduct </w:t>
      </w:r>
      <w:r w:rsidR="009E65CB" w:rsidRPr="00E3754A">
        <w:rPr>
          <w:iCs/>
          <w:lang w:val="en-AU"/>
        </w:rPr>
        <w:t>their lives</w:t>
      </w:r>
      <w:r w:rsidR="009804E9" w:rsidRPr="00E3754A">
        <w:rPr>
          <w:iCs/>
          <w:lang w:val="en-AU"/>
        </w:rPr>
        <w:t xml:space="preserve">. </w:t>
      </w:r>
      <w:r w:rsidRPr="00E3754A">
        <w:rPr>
          <w:iCs/>
          <w:lang w:val="en-AU"/>
        </w:rPr>
        <w:t>The limitations, therefore, of such a care recipient’s ability to exercise their legal capacity seem evident, even when decisions on their behalf are ostensibly taken in a person’s best interests.</w:t>
      </w:r>
      <w:r w:rsidR="00B708FB" w:rsidRPr="00E3754A">
        <w:rPr>
          <w:lang w:val="en-AU"/>
        </w:rPr>
        <w:br w:type="page"/>
      </w:r>
    </w:p>
    <w:tbl>
      <w:tblPr>
        <w:tblStyle w:val="Style5"/>
        <w:tblW w:w="5000" w:type="pct"/>
        <w:tblLook w:val="04A0" w:firstRow="1" w:lastRow="0" w:firstColumn="1" w:lastColumn="0" w:noHBand="0" w:noVBand="1"/>
      </w:tblPr>
      <w:tblGrid>
        <w:gridCol w:w="9236"/>
      </w:tblGrid>
      <w:tr w:rsidR="003A1751" w:rsidRPr="00E3754A" w14:paraId="760117CC" w14:textId="77777777" w:rsidTr="006870A5">
        <w:tc>
          <w:tcPr>
            <w:tcW w:w="5000" w:type="pct"/>
          </w:tcPr>
          <w:p w14:paraId="15945156" w14:textId="6B29AD8C" w:rsidR="003A1751" w:rsidRPr="00E3754A" w:rsidRDefault="002606ED" w:rsidP="006870A5">
            <w:pPr>
              <w:pStyle w:val="Heading1"/>
              <w:rPr>
                <w:lang w:val="en-AU"/>
              </w:rPr>
            </w:pPr>
            <w:r w:rsidRPr="00E3754A">
              <w:rPr>
                <w:lang w:val="en-AU"/>
              </w:rPr>
              <w:t xml:space="preserve"> </w:t>
            </w:r>
            <w:bookmarkStart w:id="50" w:name="_Toc337970288"/>
            <w:bookmarkStart w:id="51" w:name="_Toc339036854"/>
            <w:r w:rsidR="003A1751" w:rsidRPr="00E3754A">
              <w:rPr>
                <w:lang w:val="en-AU"/>
              </w:rPr>
              <w:t>The realisation of legal capacity through supported decision-making</w:t>
            </w:r>
            <w:bookmarkEnd w:id="50"/>
            <w:bookmarkEnd w:id="51"/>
          </w:p>
        </w:tc>
      </w:tr>
    </w:tbl>
    <w:p w14:paraId="32C1AD37" w14:textId="6B3F1405" w:rsidR="00586803" w:rsidRPr="00E3754A" w:rsidRDefault="00F608DB" w:rsidP="003A1751">
      <w:pPr>
        <w:pStyle w:val="NoSpacing"/>
        <w:rPr>
          <w:lang w:val="en-AU"/>
        </w:rPr>
      </w:pPr>
      <w:r w:rsidRPr="00E3754A">
        <w:rPr>
          <w:lang w:val="en-AU"/>
        </w:rPr>
        <w:t>Some</w:t>
      </w:r>
      <w:r w:rsidR="00874928" w:rsidRPr="00E3754A">
        <w:rPr>
          <w:lang w:val="en-AU"/>
        </w:rPr>
        <w:t xml:space="preserve"> of the</w:t>
      </w:r>
      <w:r w:rsidRPr="00E3754A">
        <w:rPr>
          <w:lang w:val="en-AU"/>
        </w:rPr>
        <w:t xml:space="preserve"> literature make</w:t>
      </w:r>
      <w:r w:rsidR="00874928" w:rsidRPr="00E3754A">
        <w:rPr>
          <w:lang w:val="en-AU"/>
        </w:rPr>
        <w:t>s a distinction</w:t>
      </w:r>
      <w:r w:rsidRPr="00E3754A">
        <w:rPr>
          <w:lang w:val="en-AU"/>
        </w:rPr>
        <w:t xml:space="preserve"> </w:t>
      </w:r>
      <w:r w:rsidR="00874928" w:rsidRPr="00E3754A">
        <w:rPr>
          <w:lang w:val="en-AU"/>
        </w:rPr>
        <w:t>about</w:t>
      </w:r>
      <w:r w:rsidRPr="00E3754A">
        <w:rPr>
          <w:lang w:val="en-AU"/>
        </w:rPr>
        <w:t xml:space="preserve"> the scope of state</w:t>
      </w:r>
      <w:r w:rsidR="00174162" w:rsidRPr="00E3754A">
        <w:rPr>
          <w:lang w:val="en-AU"/>
        </w:rPr>
        <w:t>s</w:t>
      </w:r>
      <w:r w:rsidRPr="00E3754A">
        <w:rPr>
          <w:lang w:val="en-AU"/>
        </w:rPr>
        <w:t xml:space="preserve"> </w:t>
      </w:r>
      <w:r w:rsidR="00BA7D86" w:rsidRPr="00BA7D86">
        <w:rPr>
          <w:lang w:val="en-AU"/>
        </w:rPr>
        <w:t>parties’</w:t>
      </w:r>
      <w:r w:rsidRPr="00E3754A">
        <w:rPr>
          <w:lang w:val="en-AU"/>
        </w:rPr>
        <w:t xml:space="preserve"> obligations to give effect to </w:t>
      </w:r>
      <w:r w:rsidR="00874928" w:rsidRPr="00E3754A">
        <w:rPr>
          <w:lang w:val="en-AU"/>
        </w:rPr>
        <w:t>the realisation of</w:t>
      </w:r>
      <w:r w:rsidRPr="00E3754A">
        <w:rPr>
          <w:lang w:val="en-AU"/>
        </w:rPr>
        <w:t xml:space="preserve"> legal capacity</w:t>
      </w:r>
      <w:r w:rsidR="00874928" w:rsidRPr="00E3754A">
        <w:rPr>
          <w:lang w:val="en-AU"/>
        </w:rPr>
        <w:t>,</w:t>
      </w:r>
      <w:r w:rsidRPr="00E3754A">
        <w:rPr>
          <w:lang w:val="en-AU"/>
        </w:rPr>
        <w:t xml:space="preserve"> will and preference. </w:t>
      </w:r>
      <w:r w:rsidR="00DA6F76" w:rsidRPr="00E3754A">
        <w:rPr>
          <w:lang w:val="en-AU"/>
        </w:rPr>
        <w:t>This</w:t>
      </w:r>
      <w:r w:rsidR="00874928" w:rsidRPr="00E3754A">
        <w:rPr>
          <w:lang w:val="en-AU"/>
        </w:rPr>
        <w:t xml:space="preserve"> work</w:t>
      </w:r>
      <w:r w:rsidR="00DA6F76" w:rsidRPr="00E3754A">
        <w:rPr>
          <w:lang w:val="en-AU"/>
        </w:rPr>
        <w:t xml:space="preserve"> is ultimately</w:t>
      </w:r>
      <w:r w:rsidR="00874928" w:rsidRPr="00E3754A">
        <w:rPr>
          <w:lang w:val="en-AU"/>
        </w:rPr>
        <w:t xml:space="preserve"> concerned with the distinction</w:t>
      </w:r>
      <w:r w:rsidR="00DA6F76" w:rsidRPr="00E3754A">
        <w:rPr>
          <w:lang w:val="en-AU"/>
        </w:rPr>
        <w:t xml:space="preserve"> being made between the obligation to provide ‘support for’ decision-making versus the obligation to pr</w:t>
      </w:r>
      <w:r w:rsidR="009F0C0F" w:rsidRPr="00E3754A">
        <w:rPr>
          <w:lang w:val="en-AU"/>
        </w:rPr>
        <w:t xml:space="preserve">ovide supported decision-making, </w:t>
      </w:r>
      <w:r w:rsidR="006D2170" w:rsidRPr="00E3754A">
        <w:rPr>
          <w:lang w:val="en-AU"/>
        </w:rPr>
        <w:t>that is,</w:t>
      </w:r>
      <w:r w:rsidR="009F0C0F" w:rsidRPr="00E3754A">
        <w:rPr>
          <w:lang w:val="en-AU"/>
        </w:rPr>
        <w:t xml:space="preserve"> the scope of state</w:t>
      </w:r>
      <w:r w:rsidR="006D2170" w:rsidRPr="00E3754A">
        <w:rPr>
          <w:lang w:val="en-AU"/>
        </w:rPr>
        <w:t>s</w:t>
      </w:r>
      <w:r w:rsidR="009F0C0F" w:rsidRPr="00E3754A">
        <w:rPr>
          <w:lang w:val="en-AU"/>
        </w:rPr>
        <w:t xml:space="preserve"> parties’ obligations.</w:t>
      </w:r>
      <w:r w:rsidR="00586803" w:rsidRPr="00E3754A">
        <w:rPr>
          <w:lang w:val="en-AU"/>
        </w:rPr>
        <w:t xml:space="preserve"> </w:t>
      </w:r>
    </w:p>
    <w:tbl>
      <w:tblPr>
        <w:tblStyle w:val="Style5"/>
        <w:tblW w:w="5000" w:type="pct"/>
        <w:tblLook w:val="04A0" w:firstRow="1" w:lastRow="0" w:firstColumn="1" w:lastColumn="0" w:noHBand="0" w:noVBand="1"/>
      </w:tblPr>
      <w:tblGrid>
        <w:gridCol w:w="9236"/>
      </w:tblGrid>
      <w:tr w:rsidR="000D7B5F" w:rsidRPr="00E3754A" w14:paraId="627A7566" w14:textId="77777777" w:rsidTr="00E444D8">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5848232E" w14:textId="296A1DCD" w:rsidR="000D7B5F" w:rsidRPr="00E3754A" w:rsidRDefault="000D7B5F" w:rsidP="009679FA">
            <w:pPr>
              <w:pStyle w:val="Heading3"/>
              <w:rPr>
                <w:lang w:val="en-AU"/>
              </w:rPr>
            </w:pPr>
            <w:bookmarkStart w:id="52" w:name="_Toc337970289"/>
            <w:bookmarkStart w:id="53" w:name="_Toc339036855"/>
            <w:r w:rsidRPr="00E3754A">
              <w:rPr>
                <w:lang w:val="en-AU"/>
              </w:rPr>
              <w:t>Defining supported decision-making</w:t>
            </w:r>
            <w:bookmarkEnd w:id="52"/>
            <w:bookmarkEnd w:id="53"/>
          </w:p>
        </w:tc>
      </w:tr>
    </w:tbl>
    <w:p w14:paraId="59BE20D1" w14:textId="59256DF1" w:rsidR="00B708FB" w:rsidRPr="00E3754A" w:rsidRDefault="00586803" w:rsidP="00F0716A">
      <w:pPr>
        <w:pStyle w:val="NoSpacing"/>
        <w:rPr>
          <w:lang w:val="en-AU"/>
        </w:rPr>
      </w:pPr>
      <w:r w:rsidRPr="00E3754A">
        <w:rPr>
          <w:lang w:val="en-AU"/>
        </w:rPr>
        <w:t xml:space="preserve">‘Support for decision-making’ and ‘supported decision-making’ seem to be conceptually equivalent because both involve the process of supporting a person to make decisions (Watson, 2016a). Watson (2016a) argues that supported decision-making is also referred to as ‘support with decision-making’, supportive decision-making’, and ‘decision-making support’. </w:t>
      </w:r>
      <w:r w:rsidR="00174162" w:rsidRPr="00E3754A">
        <w:rPr>
          <w:lang w:val="en-AU"/>
        </w:rPr>
        <w:t>Applying a different interpretation</w:t>
      </w:r>
      <w:r w:rsidRPr="00E3754A">
        <w:rPr>
          <w:lang w:val="en-AU"/>
        </w:rPr>
        <w:t>, Browning et al. (2014) argue that there is a subtle difference</w:t>
      </w:r>
      <w:r w:rsidR="00174162" w:rsidRPr="00E3754A">
        <w:rPr>
          <w:lang w:val="en-AU"/>
        </w:rPr>
        <w:t xml:space="preserve"> between the two concepts</w:t>
      </w:r>
      <w:r w:rsidR="00495574" w:rsidRPr="00E3754A">
        <w:rPr>
          <w:lang w:val="en-AU"/>
        </w:rPr>
        <w:t xml:space="preserve"> of ‘support with decision-making’ and ‘supported decision-making’</w:t>
      </w:r>
      <w:r w:rsidR="00174162" w:rsidRPr="00E3754A">
        <w:rPr>
          <w:lang w:val="en-AU"/>
        </w:rPr>
        <w:t>.</w:t>
      </w:r>
      <w:r w:rsidR="00495574" w:rsidRPr="00E3754A">
        <w:rPr>
          <w:rStyle w:val="FootnoteReference"/>
          <w:lang w:val="en-AU"/>
        </w:rPr>
        <w:footnoteReference w:id="12"/>
      </w:r>
      <w:r w:rsidR="006F7CE1" w:rsidRPr="00E3754A">
        <w:rPr>
          <w:lang w:val="en-AU"/>
        </w:rPr>
        <w:t xml:space="preserve"> </w:t>
      </w:r>
      <w:r w:rsidR="00174162" w:rsidRPr="00E3754A">
        <w:rPr>
          <w:lang w:val="en-AU"/>
        </w:rPr>
        <w:t xml:space="preserve">In the view of </w:t>
      </w:r>
      <w:r w:rsidR="006D2170" w:rsidRPr="00E3754A">
        <w:rPr>
          <w:lang w:val="en-AU"/>
        </w:rPr>
        <w:t>Browning et al.</w:t>
      </w:r>
      <w:r w:rsidR="00174162" w:rsidRPr="00E3754A">
        <w:rPr>
          <w:lang w:val="en-AU"/>
        </w:rPr>
        <w:t>,</w:t>
      </w:r>
      <w:r w:rsidRPr="00E3754A">
        <w:rPr>
          <w:lang w:val="en-AU"/>
        </w:rPr>
        <w:t xml:space="preserve"> ‘support with decision-making’ refers to the mechanisms by which a person can be direc</w:t>
      </w:r>
      <w:r w:rsidR="00174162" w:rsidRPr="00E3754A">
        <w:rPr>
          <w:lang w:val="en-AU"/>
        </w:rPr>
        <w:t>tly supported to make decisions, while</w:t>
      </w:r>
      <w:r w:rsidRPr="00E3754A">
        <w:rPr>
          <w:lang w:val="en-AU"/>
        </w:rPr>
        <w:t xml:space="preserve"> ‘supported decision-making’ </w:t>
      </w:r>
      <w:r w:rsidR="00174162" w:rsidRPr="00E3754A">
        <w:rPr>
          <w:lang w:val="en-AU"/>
        </w:rPr>
        <w:t>refers to the realisation of the</w:t>
      </w:r>
      <w:r w:rsidRPr="00E3754A">
        <w:rPr>
          <w:lang w:val="en-AU"/>
        </w:rPr>
        <w:t xml:space="preserve"> exercise of agency and decision-making ability of the supported person, which includes taking steps to indirectly (such as by law, policy</w:t>
      </w:r>
      <w:r w:rsidR="00F27508">
        <w:rPr>
          <w:lang w:val="en-AU"/>
        </w:rPr>
        <w:t>,</w:t>
      </w:r>
      <w:r w:rsidRPr="00E3754A">
        <w:rPr>
          <w:lang w:val="en-AU"/>
        </w:rPr>
        <w:t xml:space="preserve"> and practice) and directly do so (Gooding, 2015). </w:t>
      </w:r>
      <w:r w:rsidR="006D2170" w:rsidRPr="00E3754A">
        <w:rPr>
          <w:lang w:val="en-AU"/>
        </w:rPr>
        <w:t>That is, they</w:t>
      </w:r>
      <w:r w:rsidRPr="00E3754A">
        <w:rPr>
          <w:lang w:val="en-AU"/>
        </w:rPr>
        <w:t xml:space="preserve"> argue</w:t>
      </w:r>
      <w:r w:rsidR="006D2170" w:rsidRPr="00E3754A">
        <w:rPr>
          <w:lang w:val="en-AU"/>
        </w:rPr>
        <w:t xml:space="preserve"> that the</w:t>
      </w:r>
      <w:r w:rsidRPr="00E3754A">
        <w:rPr>
          <w:lang w:val="en-AU"/>
        </w:rPr>
        <w:t xml:space="preserve"> supported decision-making framework goes beyond support</w:t>
      </w:r>
      <w:r w:rsidR="00174162" w:rsidRPr="00E3754A">
        <w:rPr>
          <w:lang w:val="en-AU"/>
        </w:rPr>
        <w:t xml:space="preserve"> with decision-making </w:t>
      </w:r>
      <w:r w:rsidR="006D2170" w:rsidRPr="00E3754A">
        <w:rPr>
          <w:lang w:val="en-AU"/>
        </w:rPr>
        <w:t xml:space="preserve">to </w:t>
      </w:r>
      <w:r w:rsidR="00174162" w:rsidRPr="00E3754A">
        <w:rPr>
          <w:lang w:val="en-AU"/>
        </w:rPr>
        <w:t>encompass revisions to states parties</w:t>
      </w:r>
      <w:r w:rsidRPr="00E3754A">
        <w:rPr>
          <w:lang w:val="en-AU"/>
        </w:rPr>
        <w:t xml:space="preserve"> legislative positions on capacity. Gooding (2015) adds that supported decision-making also includes upholding other rights of the </w:t>
      </w:r>
      <w:r w:rsidR="00174162" w:rsidRPr="00E3754A">
        <w:rPr>
          <w:lang w:val="en-AU"/>
        </w:rPr>
        <w:t>disabled person</w:t>
      </w:r>
      <w:r w:rsidRPr="00E3754A">
        <w:rPr>
          <w:lang w:val="en-AU"/>
        </w:rPr>
        <w:t xml:space="preserve">, for example, rights to legal capacity, rights to life, rights to dignity, and rights to choose where to live. </w:t>
      </w:r>
      <w:r w:rsidR="006D2170" w:rsidRPr="00E3754A">
        <w:rPr>
          <w:lang w:val="en-AU"/>
        </w:rPr>
        <w:t>Consequently, some commentators</w:t>
      </w:r>
      <w:r w:rsidRPr="00E3754A">
        <w:rPr>
          <w:lang w:val="en-AU"/>
        </w:rPr>
        <w:t xml:space="preserve"> argue for the distinction on the basis that </w:t>
      </w:r>
      <w:r w:rsidR="00174162" w:rsidRPr="00E3754A">
        <w:rPr>
          <w:lang w:val="en-AU"/>
        </w:rPr>
        <w:t>full realisation of the</w:t>
      </w:r>
      <w:r w:rsidRPr="00E3754A">
        <w:rPr>
          <w:lang w:val="en-AU"/>
        </w:rPr>
        <w:t xml:space="preserve"> supported decision-making model</w:t>
      </w:r>
      <w:r w:rsidR="006D2170" w:rsidRPr="00E3754A">
        <w:rPr>
          <w:lang w:val="en-AU"/>
        </w:rPr>
        <w:t>,</w:t>
      </w:r>
      <w:r w:rsidRPr="00E3754A">
        <w:rPr>
          <w:lang w:val="en-AU"/>
        </w:rPr>
        <w:t xml:space="preserve"> </w:t>
      </w:r>
      <w:r w:rsidR="00174162" w:rsidRPr="00E3754A">
        <w:rPr>
          <w:lang w:val="en-AU"/>
        </w:rPr>
        <w:t>including legislative change</w:t>
      </w:r>
      <w:r w:rsidR="006D2170" w:rsidRPr="00E3754A">
        <w:rPr>
          <w:lang w:val="en-AU"/>
        </w:rPr>
        <w:t>,</w:t>
      </w:r>
      <w:r w:rsidR="00174162" w:rsidRPr="00E3754A">
        <w:rPr>
          <w:lang w:val="en-AU"/>
        </w:rPr>
        <w:t xml:space="preserve"> is the only way to</w:t>
      </w:r>
      <w:r w:rsidRPr="00E3754A">
        <w:rPr>
          <w:lang w:val="en-AU"/>
        </w:rPr>
        <w:t xml:space="preserve"> give</w:t>
      </w:r>
      <w:r w:rsidR="00174162" w:rsidRPr="00E3754A">
        <w:rPr>
          <w:lang w:val="en-AU"/>
        </w:rPr>
        <w:t xml:space="preserve"> full</w:t>
      </w:r>
      <w:r w:rsidRPr="00E3754A">
        <w:rPr>
          <w:lang w:val="en-AU"/>
        </w:rPr>
        <w:t xml:space="preserve"> effect to the Convention (Browning et al., 2014).</w:t>
      </w:r>
      <w:r w:rsidR="00500C65" w:rsidRPr="00E3754A">
        <w:rPr>
          <w:rStyle w:val="FootnoteReference"/>
          <w:lang w:val="en-AU"/>
        </w:rPr>
        <w:footnoteReference w:id="13"/>
      </w:r>
      <w:r w:rsidR="00B708FB" w:rsidRPr="00E3754A">
        <w:rPr>
          <w:lang w:val="en-AU"/>
        </w:rPr>
        <w:br w:type="page"/>
      </w:r>
    </w:p>
    <w:tbl>
      <w:tblPr>
        <w:tblStyle w:val="Style4"/>
        <w:tblW w:w="5000" w:type="pct"/>
        <w:tblLook w:val="04A0" w:firstRow="1" w:lastRow="0" w:firstColumn="1" w:lastColumn="0" w:noHBand="0" w:noVBand="1"/>
      </w:tblPr>
      <w:tblGrid>
        <w:gridCol w:w="9236"/>
      </w:tblGrid>
      <w:tr w:rsidR="000728A5" w:rsidRPr="00E3754A" w14:paraId="3B7ACBC2" w14:textId="77777777" w:rsidTr="00384664">
        <w:trPr>
          <w:cnfStyle w:val="100000000000" w:firstRow="1" w:lastRow="0" w:firstColumn="0" w:lastColumn="0" w:oddVBand="0" w:evenVBand="0" w:oddHBand="0" w:evenHBand="0" w:firstRowFirstColumn="0" w:firstRowLastColumn="0" w:lastRowFirstColumn="0" w:lastRowLastColumn="0"/>
        </w:trPr>
        <w:tc>
          <w:tcPr>
            <w:tcW w:w="5000" w:type="pct"/>
          </w:tcPr>
          <w:p w14:paraId="7D763922" w14:textId="08796BB9" w:rsidR="000728A5" w:rsidRPr="00E3754A" w:rsidRDefault="002127C1" w:rsidP="007E51DB">
            <w:pPr>
              <w:pStyle w:val="Heading2"/>
              <w:outlineLvl w:val="1"/>
              <w:rPr>
                <w:lang w:val="en-AU"/>
              </w:rPr>
            </w:pPr>
            <w:bookmarkStart w:id="54" w:name="_Toc337970290"/>
            <w:bookmarkStart w:id="55" w:name="_Toc339036856"/>
            <w:r w:rsidRPr="00E3754A">
              <w:rPr>
                <w:lang w:val="en-AU"/>
              </w:rPr>
              <w:t xml:space="preserve">Summarising the key points and </w:t>
            </w:r>
            <w:r w:rsidR="00BF5544" w:rsidRPr="00E3754A">
              <w:rPr>
                <w:lang w:val="en-AU"/>
              </w:rPr>
              <w:t>issues of contention</w:t>
            </w:r>
            <w:bookmarkEnd w:id="54"/>
            <w:bookmarkEnd w:id="55"/>
          </w:p>
        </w:tc>
      </w:tr>
    </w:tbl>
    <w:p w14:paraId="70E7956F" w14:textId="07FE6F43" w:rsidR="000728A5" w:rsidRPr="00E3754A" w:rsidRDefault="000728A5" w:rsidP="000728A5">
      <w:pPr>
        <w:pStyle w:val="NoSpacing"/>
        <w:rPr>
          <w:lang w:val="en-AU"/>
        </w:rPr>
      </w:pPr>
      <w:r w:rsidRPr="00E3754A">
        <w:rPr>
          <w:lang w:val="en-AU"/>
        </w:rPr>
        <w:t xml:space="preserve">As is evidenced by many </w:t>
      </w:r>
      <w:r w:rsidR="00FA30D7" w:rsidRPr="00E3754A">
        <w:rPr>
          <w:lang w:val="en-AU"/>
        </w:rPr>
        <w:t>states parties</w:t>
      </w:r>
      <w:r w:rsidRPr="00E3754A">
        <w:rPr>
          <w:lang w:val="en-AU"/>
        </w:rPr>
        <w:t>’ reports to the Committee on the Convention (see for example, Australia, Canada</w:t>
      </w:r>
      <w:r w:rsidR="00F0716A" w:rsidRPr="00E3754A">
        <w:rPr>
          <w:lang w:val="en-AU"/>
        </w:rPr>
        <w:t xml:space="preserve">, New Zealand, Norway, Denmark), </w:t>
      </w:r>
      <w:r w:rsidRPr="00E3754A">
        <w:rPr>
          <w:lang w:val="en-AU"/>
        </w:rPr>
        <w:t xml:space="preserve">and </w:t>
      </w:r>
      <w:r w:rsidR="00F0716A" w:rsidRPr="00E3754A">
        <w:rPr>
          <w:lang w:val="en-AU"/>
        </w:rPr>
        <w:t xml:space="preserve">a significant body of </w:t>
      </w:r>
      <w:r w:rsidRPr="00E3754A">
        <w:rPr>
          <w:lang w:val="en-AU"/>
        </w:rPr>
        <w:t xml:space="preserve">literature </w:t>
      </w:r>
      <w:r w:rsidR="00F0716A" w:rsidRPr="00E3754A">
        <w:rPr>
          <w:lang w:val="en-AU"/>
        </w:rPr>
        <w:t>that surrounds</w:t>
      </w:r>
      <w:r w:rsidRPr="00E3754A">
        <w:rPr>
          <w:lang w:val="en-AU"/>
        </w:rPr>
        <w:t xml:space="preserve"> the Convention (see for example Ciavano, 2014; Dawson, 2015; Martin et al., </w:t>
      </w:r>
      <w:r w:rsidR="00BF5544" w:rsidRPr="00E3754A">
        <w:rPr>
          <w:lang w:val="en-AU"/>
        </w:rPr>
        <w:t>2014</w:t>
      </w:r>
      <w:r w:rsidRPr="00E3754A">
        <w:rPr>
          <w:lang w:val="en-AU"/>
        </w:rPr>
        <w:t xml:space="preserve">), there has been </w:t>
      </w:r>
      <w:r w:rsidR="00290300" w:rsidRPr="00E3754A">
        <w:rPr>
          <w:lang w:val="en-AU"/>
        </w:rPr>
        <w:t>uncertainty</w:t>
      </w:r>
      <w:r w:rsidRPr="00E3754A">
        <w:rPr>
          <w:lang w:val="en-AU"/>
        </w:rPr>
        <w:t xml:space="preserve"> about the obligations of state</w:t>
      </w:r>
      <w:r w:rsidR="00BF5544" w:rsidRPr="00E3754A">
        <w:rPr>
          <w:lang w:val="en-AU"/>
        </w:rPr>
        <w:t>s</w:t>
      </w:r>
      <w:r w:rsidRPr="00E3754A">
        <w:rPr>
          <w:lang w:val="en-AU"/>
        </w:rPr>
        <w:t xml:space="preserve"> parties and, especially, how jurisdictions can give effect to Artic</w:t>
      </w:r>
      <w:r w:rsidR="00F0716A" w:rsidRPr="00E3754A">
        <w:rPr>
          <w:lang w:val="en-AU"/>
        </w:rPr>
        <w:t>le 12. While most people agree</w:t>
      </w:r>
      <w:r w:rsidRPr="00E3754A">
        <w:rPr>
          <w:lang w:val="en-AU"/>
        </w:rPr>
        <w:t xml:space="preserve"> </w:t>
      </w:r>
      <w:r w:rsidR="00F0716A" w:rsidRPr="00E3754A">
        <w:rPr>
          <w:lang w:val="en-AU"/>
        </w:rPr>
        <w:t xml:space="preserve">about the broad intention of the Convention in </w:t>
      </w:r>
      <w:r w:rsidRPr="00E3754A">
        <w:rPr>
          <w:lang w:val="en-AU"/>
        </w:rPr>
        <w:t xml:space="preserve">principle, the most significant tension lies with Article 12. While the General Comment </w:t>
      </w:r>
      <w:r w:rsidR="00BF5544" w:rsidRPr="00E3754A">
        <w:rPr>
          <w:lang w:val="en-AU"/>
        </w:rPr>
        <w:t xml:space="preserve">was intended </w:t>
      </w:r>
      <w:r w:rsidRPr="00E3754A">
        <w:rPr>
          <w:lang w:val="en-AU"/>
        </w:rPr>
        <w:t>to clarif</w:t>
      </w:r>
      <w:r w:rsidR="00B7502A" w:rsidRPr="00E3754A">
        <w:rPr>
          <w:lang w:val="en-AU"/>
        </w:rPr>
        <w:t xml:space="preserve">y the ambiguity related to Article 12, </w:t>
      </w:r>
      <w:r w:rsidRPr="00E3754A">
        <w:rPr>
          <w:lang w:val="en-AU"/>
        </w:rPr>
        <w:t>debate remains and focuses on:</w:t>
      </w:r>
    </w:p>
    <w:p w14:paraId="7F5CB9DB" w14:textId="28259FCD" w:rsidR="000728A5" w:rsidRPr="00E3754A" w:rsidRDefault="000728A5" w:rsidP="00CC4BF3">
      <w:pPr>
        <w:pStyle w:val="NoSpacing"/>
        <w:numPr>
          <w:ilvl w:val="0"/>
          <w:numId w:val="18"/>
        </w:numPr>
        <w:rPr>
          <w:lang w:val="en-AU"/>
        </w:rPr>
      </w:pPr>
      <w:r w:rsidRPr="00E3754A">
        <w:rPr>
          <w:lang w:val="en-AU"/>
        </w:rPr>
        <w:t>The abolishment of substituted decision-makin</w:t>
      </w:r>
      <w:r w:rsidR="0026530E" w:rsidRPr="00E3754A">
        <w:rPr>
          <w:lang w:val="en-AU"/>
        </w:rPr>
        <w:t>g in its entirety, including</w:t>
      </w:r>
      <w:r w:rsidRPr="00E3754A">
        <w:rPr>
          <w:lang w:val="en-AU"/>
        </w:rPr>
        <w:t xml:space="preserve"> mental capacity tests.</w:t>
      </w:r>
    </w:p>
    <w:p w14:paraId="2A3A4D0A" w14:textId="6A7B7363" w:rsidR="00835160" w:rsidRPr="00E3754A" w:rsidRDefault="000728A5" w:rsidP="00CC4BF3">
      <w:pPr>
        <w:pStyle w:val="NoSpacing"/>
        <w:numPr>
          <w:ilvl w:val="0"/>
          <w:numId w:val="18"/>
        </w:numPr>
        <w:rPr>
          <w:lang w:val="en-AU"/>
        </w:rPr>
      </w:pPr>
      <w:r w:rsidRPr="00E3754A">
        <w:rPr>
          <w:lang w:val="en-AU"/>
        </w:rPr>
        <w:t>The nature by which state</w:t>
      </w:r>
      <w:r w:rsidR="00BF5544" w:rsidRPr="00E3754A">
        <w:rPr>
          <w:lang w:val="en-AU"/>
        </w:rPr>
        <w:t>s</w:t>
      </w:r>
      <w:r w:rsidRPr="00E3754A">
        <w:rPr>
          <w:lang w:val="en-AU"/>
        </w:rPr>
        <w:t xml:space="preserve"> parties can give effect to Article 12 through supporting disable</w:t>
      </w:r>
      <w:r w:rsidR="00EB78C9" w:rsidRPr="00E3754A">
        <w:rPr>
          <w:lang w:val="en-AU"/>
        </w:rPr>
        <w:t>d people</w:t>
      </w:r>
      <w:r w:rsidR="00D86544">
        <w:rPr>
          <w:lang w:val="en-AU"/>
        </w:rPr>
        <w:t>’</w:t>
      </w:r>
      <w:r w:rsidRPr="00E3754A">
        <w:rPr>
          <w:lang w:val="en-AU"/>
        </w:rPr>
        <w:t xml:space="preserve">s decision-making and the realisation of will and preference. </w:t>
      </w:r>
    </w:p>
    <w:p w14:paraId="01CEED6F" w14:textId="67150ED8" w:rsidR="00835160" w:rsidRPr="00E3754A" w:rsidRDefault="00847848" w:rsidP="00835160">
      <w:pPr>
        <w:pStyle w:val="NoSpacing"/>
        <w:rPr>
          <w:lang w:val="en-AU"/>
        </w:rPr>
      </w:pPr>
      <w:r w:rsidRPr="00E3754A">
        <w:rPr>
          <w:lang w:val="en-AU"/>
        </w:rPr>
        <w:t>Furthermore</w:t>
      </w:r>
      <w:r w:rsidR="00A65C9B">
        <w:rPr>
          <w:lang w:val="en-AU"/>
        </w:rPr>
        <w:t>,</w:t>
      </w:r>
      <w:r w:rsidRPr="00E3754A">
        <w:rPr>
          <w:lang w:val="en-AU"/>
        </w:rPr>
        <w:t xml:space="preserve"> i</w:t>
      </w:r>
      <w:r w:rsidR="00BF5544" w:rsidRPr="00E3754A">
        <w:rPr>
          <w:lang w:val="en-AU"/>
        </w:rPr>
        <w:t>n</w:t>
      </w:r>
      <w:r w:rsidR="00835160" w:rsidRPr="00E3754A">
        <w:rPr>
          <w:lang w:val="en-AU"/>
        </w:rPr>
        <w:t xml:space="preserve"> the shift from conceiving of mental and legal capacity as intrinsically linked to the non-derogable and rights-based recognition of legal capacity regardless of mental capacity, the following tensions </w:t>
      </w:r>
      <w:r w:rsidR="00BF5544" w:rsidRPr="00E3754A">
        <w:rPr>
          <w:lang w:val="en-AU"/>
        </w:rPr>
        <w:t>can also be seen</w:t>
      </w:r>
      <w:r w:rsidR="00835160" w:rsidRPr="00E3754A">
        <w:rPr>
          <w:lang w:val="en-AU"/>
        </w:rPr>
        <w:t xml:space="preserve"> in the discourse </w:t>
      </w:r>
      <w:r w:rsidR="00BF5544" w:rsidRPr="00E3754A">
        <w:rPr>
          <w:lang w:val="en-AU"/>
        </w:rPr>
        <w:t xml:space="preserve">relating to </w:t>
      </w:r>
      <w:r w:rsidR="00835160" w:rsidRPr="00E3754A">
        <w:rPr>
          <w:lang w:val="en-AU"/>
        </w:rPr>
        <w:t>the Convention:</w:t>
      </w:r>
    </w:p>
    <w:p w14:paraId="7A775FE3" w14:textId="77777777" w:rsidR="00835160" w:rsidRPr="00E3754A" w:rsidRDefault="00835160" w:rsidP="007E51DB">
      <w:pPr>
        <w:pStyle w:val="NoSpacing"/>
        <w:numPr>
          <w:ilvl w:val="0"/>
          <w:numId w:val="16"/>
        </w:numPr>
        <w:rPr>
          <w:lang w:val="en-AU"/>
        </w:rPr>
      </w:pPr>
      <w:r w:rsidRPr="00E3754A">
        <w:rPr>
          <w:lang w:val="en-AU"/>
        </w:rPr>
        <w:t>Distinctions between rights to legal standing and rights to legal agency under the umbrella notion of ‘right to legal capacity’.</w:t>
      </w:r>
    </w:p>
    <w:p w14:paraId="1F173452" w14:textId="19AE551C" w:rsidR="00847848" w:rsidRPr="00E3754A" w:rsidRDefault="00835160" w:rsidP="007E51DB">
      <w:pPr>
        <w:pStyle w:val="NoSpacing"/>
        <w:numPr>
          <w:ilvl w:val="0"/>
          <w:numId w:val="16"/>
        </w:numPr>
        <w:rPr>
          <w:lang w:val="en-AU"/>
        </w:rPr>
      </w:pPr>
      <w:r w:rsidRPr="00E3754A">
        <w:rPr>
          <w:lang w:val="en-AU"/>
        </w:rPr>
        <w:t>Debate concerning equal and differential treatment under criminal law.</w:t>
      </w:r>
    </w:p>
    <w:p w14:paraId="45AAA748" w14:textId="65917E7C" w:rsidR="00BF5544" w:rsidRPr="00E3754A" w:rsidRDefault="00835160" w:rsidP="007E51DB">
      <w:pPr>
        <w:pStyle w:val="NoSpacing"/>
        <w:numPr>
          <w:ilvl w:val="0"/>
          <w:numId w:val="16"/>
        </w:numPr>
        <w:rPr>
          <w:lang w:val="en-AU"/>
        </w:rPr>
      </w:pPr>
      <w:r w:rsidRPr="00E3754A">
        <w:rPr>
          <w:lang w:val="en-AU"/>
        </w:rPr>
        <w:t>Obstructions to the realisation of person’s legal capacity in practice, including negative perceptions of disability</w:t>
      </w:r>
      <w:r w:rsidR="00847848" w:rsidRPr="00E3754A">
        <w:rPr>
          <w:lang w:val="en-AU"/>
        </w:rPr>
        <w:t>,</w:t>
      </w:r>
      <w:r w:rsidRPr="00E3754A">
        <w:rPr>
          <w:lang w:val="en-AU"/>
        </w:rPr>
        <w:t xml:space="preserve"> </w:t>
      </w:r>
      <w:r w:rsidR="00847848" w:rsidRPr="00E3754A">
        <w:rPr>
          <w:lang w:val="en-AU"/>
        </w:rPr>
        <w:t xml:space="preserve">as well as </w:t>
      </w:r>
      <w:r w:rsidRPr="00E3754A">
        <w:rPr>
          <w:lang w:val="en-AU"/>
        </w:rPr>
        <w:t>state</w:t>
      </w:r>
      <w:r w:rsidR="00847848" w:rsidRPr="00E3754A">
        <w:rPr>
          <w:lang w:val="en-AU"/>
        </w:rPr>
        <w:t>s</w:t>
      </w:r>
      <w:r w:rsidRPr="00E3754A">
        <w:rPr>
          <w:lang w:val="en-AU"/>
        </w:rPr>
        <w:t xml:space="preserve"> parties’ misinterpretations of their obligations. </w:t>
      </w:r>
    </w:p>
    <w:p w14:paraId="45E7902A" w14:textId="77777777" w:rsidR="00BF5544" w:rsidRPr="00E3754A" w:rsidRDefault="00BF5544" w:rsidP="00847848">
      <w:pPr>
        <w:pStyle w:val="NoSpacing"/>
        <w:rPr>
          <w:lang w:val="en-AU"/>
        </w:rPr>
      </w:pPr>
    </w:p>
    <w:p w14:paraId="5F927AA4" w14:textId="77777777" w:rsidR="00BF5544" w:rsidRPr="00E3754A" w:rsidRDefault="00BF5544" w:rsidP="00847848">
      <w:pPr>
        <w:pStyle w:val="NoSpacing"/>
        <w:rPr>
          <w:lang w:val="en-AU"/>
        </w:rPr>
      </w:pPr>
    </w:p>
    <w:p w14:paraId="1177C830" w14:textId="6DF0AD81" w:rsidR="00B44A0C" w:rsidRPr="00E3754A" w:rsidRDefault="00B44A0C">
      <w:pPr>
        <w:spacing w:line="240" w:lineRule="auto"/>
        <w:jc w:val="left"/>
        <w:rPr>
          <w:lang w:val="en-AU"/>
        </w:rPr>
      </w:pPr>
      <w:r w:rsidRPr="00E3754A">
        <w:rPr>
          <w:lang w:val="en-AU"/>
        </w:rPr>
        <w:br w:type="page"/>
      </w:r>
    </w:p>
    <w:tbl>
      <w:tblPr>
        <w:tblStyle w:val="Style5"/>
        <w:tblW w:w="5000" w:type="pct"/>
        <w:tblLook w:val="04A0" w:firstRow="1" w:lastRow="0" w:firstColumn="1" w:lastColumn="0" w:noHBand="0" w:noVBand="1"/>
      </w:tblPr>
      <w:tblGrid>
        <w:gridCol w:w="9236"/>
      </w:tblGrid>
      <w:tr w:rsidR="001D2B09" w:rsidRPr="00E3754A" w14:paraId="0424A0F1" w14:textId="77777777" w:rsidTr="00AD0161">
        <w:tc>
          <w:tcPr>
            <w:tcW w:w="5000" w:type="pct"/>
          </w:tcPr>
          <w:p w14:paraId="43829897" w14:textId="3DC7674A" w:rsidR="001D2B09" w:rsidRPr="00E3754A" w:rsidRDefault="006D33BC" w:rsidP="006D33BC">
            <w:pPr>
              <w:pStyle w:val="Heading1"/>
              <w:rPr>
                <w:lang w:val="en-AU"/>
              </w:rPr>
            </w:pPr>
            <w:bookmarkStart w:id="56" w:name="_Toc337970291"/>
            <w:bookmarkStart w:id="57" w:name="_Toc339036857"/>
            <w:r w:rsidRPr="00E3754A">
              <w:rPr>
                <w:lang w:val="en-AU"/>
              </w:rPr>
              <w:t>Part Two: Implementing supported decision-making</w:t>
            </w:r>
            <w:r w:rsidR="001D2B09" w:rsidRPr="00E3754A">
              <w:rPr>
                <w:lang w:val="en-AU"/>
              </w:rPr>
              <w:t xml:space="preserve"> in legislation, p</w:t>
            </w:r>
            <w:r w:rsidRPr="00E3754A">
              <w:rPr>
                <w:lang w:val="en-AU"/>
              </w:rPr>
              <w:t xml:space="preserve">olicy, and </w:t>
            </w:r>
            <w:r w:rsidR="001D2B09" w:rsidRPr="00E3754A">
              <w:rPr>
                <w:lang w:val="en-AU"/>
              </w:rPr>
              <w:t>practice</w:t>
            </w:r>
            <w:bookmarkEnd w:id="56"/>
            <w:bookmarkEnd w:id="57"/>
          </w:p>
        </w:tc>
      </w:tr>
    </w:tbl>
    <w:p w14:paraId="69F2E284" w14:textId="2730777E" w:rsidR="009355C2" w:rsidRPr="00E3754A" w:rsidRDefault="006D33BC" w:rsidP="0052130F">
      <w:pPr>
        <w:pStyle w:val="NoSpacing"/>
        <w:rPr>
          <w:lang w:val="en-AU"/>
        </w:rPr>
      </w:pPr>
      <w:r w:rsidRPr="00E3754A">
        <w:rPr>
          <w:lang w:val="en-AU"/>
        </w:rPr>
        <w:t xml:space="preserve">Part Two of this report </w:t>
      </w:r>
      <w:r w:rsidR="00342129" w:rsidRPr="00E3754A">
        <w:rPr>
          <w:lang w:val="en-AU"/>
        </w:rPr>
        <w:t>considers</w:t>
      </w:r>
      <w:r w:rsidR="00037517" w:rsidRPr="00E3754A">
        <w:rPr>
          <w:lang w:val="en-AU"/>
        </w:rPr>
        <w:t xml:space="preserve"> </w:t>
      </w:r>
      <w:r w:rsidR="009355C2" w:rsidRPr="00E3754A">
        <w:rPr>
          <w:lang w:val="en-AU"/>
        </w:rPr>
        <w:t>the speci</w:t>
      </w:r>
      <w:r w:rsidR="0021640E" w:rsidRPr="00E3754A">
        <w:rPr>
          <w:lang w:val="en-AU"/>
        </w:rPr>
        <w:t>fic approaches and mechanisms for</w:t>
      </w:r>
      <w:r w:rsidR="009355C2" w:rsidRPr="00E3754A">
        <w:rPr>
          <w:lang w:val="en-AU"/>
        </w:rPr>
        <w:t xml:space="preserve"> support</w:t>
      </w:r>
      <w:r w:rsidR="0021640E" w:rsidRPr="00E3754A">
        <w:rPr>
          <w:lang w:val="en-AU"/>
        </w:rPr>
        <w:t>ed</w:t>
      </w:r>
      <w:r w:rsidR="009355C2" w:rsidRPr="00E3754A">
        <w:rPr>
          <w:lang w:val="en-AU"/>
        </w:rPr>
        <w:t xml:space="preserve"> decision-making</w:t>
      </w:r>
      <w:r w:rsidR="000768F8" w:rsidRPr="00E3754A">
        <w:rPr>
          <w:lang w:val="en-AU"/>
        </w:rPr>
        <w:t xml:space="preserve"> that have</w:t>
      </w:r>
      <w:r w:rsidR="00342129" w:rsidRPr="00E3754A">
        <w:rPr>
          <w:lang w:val="en-AU"/>
        </w:rPr>
        <w:t xml:space="preserve"> been</w:t>
      </w:r>
      <w:r w:rsidR="009355C2" w:rsidRPr="00E3754A">
        <w:rPr>
          <w:lang w:val="en-AU"/>
        </w:rPr>
        <w:t xml:space="preserve"> </w:t>
      </w:r>
      <w:r w:rsidR="0021640E" w:rsidRPr="00E3754A">
        <w:rPr>
          <w:lang w:val="en-AU"/>
        </w:rPr>
        <w:t>signalled</w:t>
      </w:r>
      <w:r w:rsidR="009355C2" w:rsidRPr="00E3754A">
        <w:rPr>
          <w:lang w:val="en-AU"/>
        </w:rPr>
        <w:t xml:space="preserve"> in the research literature, or implemented by states parties</w:t>
      </w:r>
      <w:r w:rsidR="0021640E" w:rsidRPr="00E3754A">
        <w:rPr>
          <w:lang w:val="en-AU"/>
        </w:rPr>
        <w:t>,</w:t>
      </w:r>
      <w:r w:rsidR="009355C2" w:rsidRPr="00E3754A">
        <w:rPr>
          <w:lang w:val="en-AU"/>
        </w:rPr>
        <w:t xml:space="preserve"> as a way of informing New Zealand’s pathway to giving expression to </w:t>
      </w:r>
      <w:r w:rsidR="00FA30D7" w:rsidRPr="00E3754A">
        <w:rPr>
          <w:lang w:val="en-AU"/>
        </w:rPr>
        <w:t>Article</w:t>
      </w:r>
      <w:r w:rsidR="009355C2" w:rsidRPr="00E3754A">
        <w:rPr>
          <w:lang w:val="en-AU"/>
        </w:rPr>
        <w:t xml:space="preserve"> 12 in the future.</w:t>
      </w:r>
      <w:r w:rsidR="0021640E" w:rsidRPr="00E3754A">
        <w:rPr>
          <w:rStyle w:val="FootnoteReference"/>
          <w:lang w:val="en-AU"/>
        </w:rPr>
        <w:footnoteReference w:id="14"/>
      </w:r>
    </w:p>
    <w:p w14:paraId="38B872F3" w14:textId="16A3540B" w:rsidR="006F26D7" w:rsidRPr="00E3754A" w:rsidRDefault="0052130F" w:rsidP="006F26D7">
      <w:pPr>
        <w:pStyle w:val="NoSpacing"/>
        <w:rPr>
          <w:lang w:val="en-AU"/>
        </w:rPr>
      </w:pPr>
      <w:r w:rsidRPr="00E3754A">
        <w:rPr>
          <w:lang w:val="en-AU"/>
        </w:rPr>
        <w:t xml:space="preserve">As outlined in Part </w:t>
      </w:r>
      <w:r w:rsidR="00820F87" w:rsidRPr="00E3754A">
        <w:rPr>
          <w:lang w:val="en-AU"/>
        </w:rPr>
        <w:t>O</w:t>
      </w:r>
      <w:r w:rsidRPr="00E3754A">
        <w:rPr>
          <w:lang w:val="en-AU"/>
        </w:rPr>
        <w:t xml:space="preserve">ne of this report, supported decision-making has been defined as, “[…] a process of supporting people with their decision making, a system that affords legal status, and a means of bringing a person’s will and preference to the centre [of the process]” (Browning et al., 2014). In other words, it is a framework in which disabled people are supported to make decisions </w:t>
      </w:r>
      <w:r w:rsidR="009355C2" w:rsidRPr="00E3754A">
        <w:rPr>
          <w:lang w:val="en-AU"/>
        </w:rPr>
        <w:t>that</w:t>
      </w:r>
      <w:r w:rsidRPr="00E3754A">
        <w:rPr>
          <w:lang w:val="en-AU"/>
        </w:rPr>
        <w:t xml:space="preserve"> exercise their legal capacity and promote self-determination, will and preference (Arstein-Kerslake &amp; Flynn, 2015; Browning et al, 2014; Kohn &amp; Blumenthal, 2014; Werner &amp; Chabany, 2015). When </w:t>
      </w:r>
      <w:r w:rsidR="009355C2" w:rsidRPr="00E3754A">
        <w:rPr>
          <w:lang w:val="en-AU"/>
        </w:rPr>
        <w:t>required</w:t>
      </w:r>
      <w:r w:rsidRPr="00E3754A">
        <w:rPr>
          <w:lang w:val="en-AU"/>
        </w:rPr>
        <w:t>, it is intended that third parties take the position of ‘supporters’ to assist disabled people to make, express, and execute their will and preferences (</w:t>
      </w:r>
      <w:r w:rsidR="0063690A" w:rsidRPr="00E3754A">
        <w:rPr>
          <w:lang w:val="en-AU"/>
        </w:rPr>
        <w:t xml:space="preserve">see </w:t>
      </w:r>
      <w:r w:rsidRPr="00E3754A">
        <w:rPr>
          <w:lang w:val="en-AU"/>
        </w:rPr>
        <w:t>Ciavano, 2014</w:t>
      </w:r>
      <w:r w:rsidR="0063690A" w:rsidRPr="00E3754A">
        <w:rPr>
          <w:lang w:val="en-AU"/>
        </w:rPr>
        <w:t>; Nilsson, 2012</w:t>
      </w:r>
      <w:r w:rsidRPr="00E3754A">
        <w:rPr>
          <w:lang w:val="en-AU"/>
        </w:rPr>
        <w:t>). This may involve support mechanisms or supporters that help in the provision of information and relevant issues to a decision, increase understanding, and help to communicate decisions made (</w:t>
      </w:r>
      <w:r w:rsidR="00C60DDF" w:rsidRPr="00E3754A">
        <w:rPr>
          <w:lang w:val="en-AU"/>
        </w:rPr>
        <w:t>Carney &amp; Beaupert, 2013</w:t>
      </w:r>
      <w:r w:rsidRPr="00E3754A">
        <w:rPr>
          <w:lang w:val="en-AU"/>
        </w:rPr>
        <w:t>; Ciavano, 2014; Devi et al. 2011; Tracy, 2015). The means of support will depend on the needs of the disabled person and the social and systemic factors that influence their ability to realise their legal capacity (Pathare &amp; Shields, 2012).</w:t>
      </w:r>
    </w:p>
    <w:p w14:paraId="694FFBD1" w14:textId="77777777" w:rsidR="006D33BC" w:rsidRPr="00E3754A" w:rsidRDefault="006D33BC" w:rsidP="006F26D7">
      <w:pPr>
        <w:pStyle w:val="NoSpacing"/>
        <w:rPr>
          <w:lang w:val="en-AU"/>
        </w:rPr>
      </w:pPr>
    </w:p>
    <w:tbl>
      <w:tblPr>
        <w:tblStyle w:val="Style5"/>
        <w:tblW w:w="5000" w:type="pct"/>
        <w:tblLook w:val="04A0" w:firstRow="1" w:lastRow="0" w:firstColumn="1" w:lastColumn="0" w:noHBand="0" w:noVBand="1"/>
      </w:tblPr>
      <w:tblGrid>
        <w:gridCol w:w="9236"/>
      </w:tblGrid>
      <w:tr w:rsidR="006F26D7" w:rsidRPr="00E3754A" w14:paraId="0E414FA0" w14:textId="77777777" w:rsidTr="00A620DA">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171EA8E0" w14:textId="2B33A383" w:rsidR="006F26D7" w:rsidRPr="00E3754A" w:rsidRDefault="006F26D7" w:rsidP="009679FA">
            <w:pPr>
              <w:pStyle w:val="Heading3"/>
              <w:rPr>
                <w:lang w:val="en-AU"/>
              </w:rPr>
            </w:pPr>
            <w:bookmarkStart w:id="58" w:name="_Toc337970292"/>
            <w:bookmarkStart w:id="59" w:name="_Toc339036858"/>
            <w:r w:rsidRPr="00E3754A">
              <w:rPr>
                <w:lang w:val="en-AU"/>
              </w:rPr>
              <w:t>Legislation and policy</w:t>
            </w:r>
            <w:bookmarkEnd w:id="58"/>
            <w:bookmarkEnd w:id="59"/>
          </w:p>
        </w:tc>
      </w:tr>
    </w:tbl>
    <w:p w14:paraId="656933B0" w14:textId="213A1A79" w:rsidR="007728C5" w:rsidRPr="00E3754A" w:rsidRDefault="009355C2" w:rsidP="007728C5">
      <w:pPr>
        <w:pStyle w:val="NoSpacing"/>
        <w:rPr>
          <w:lang w:val="en-AU"/>
        </w:rPr>
      </w:pPr>
      <w:r w:rsidRPr="00E3754A">
        <w:rPr>
          <w:lang w:val="en-AU"/>
        </w:rPr>
        <w:t>The literature has a general focus on law reform as an essential component of realising the Convention (</w:t>
      </w:r>
      <w:r w:rsidR="00C70F6B" w:rsidRPr="00E3754A">
        <w:rPr>
          <w:lang w:val="en-AU"/>
        </w:rPr>
        <w:t xml:space="preserve">see </w:t>
      </w:r>
      <w:r w:rsidRPr="00E3754A">
        <w:rPr>
          <w:lang w:val="en-AU"/>
        </w:rPr>
        <w:t>Burgen, 2016</w:t>
      </w:r>
      <w:r w:rsidR="00C70F6B" w:rsidRPr="00E3754A">
        <w:rPr>
          <w:lang w:val="en-AU"/>
        </w:rPr>
        <w:t xml:space="preserve">; </w:t>
      </w:r>
      <w:r w:rsidR="00C60DDF" w:rsidRPr="00E3754A">
        <w:rPr>
          <w:lang w:val="en-AU"/>
        </w:rPr>
        <w:t>Carney, 2013</w:t>
      </w:r>
      <w:r w:rsidR="0054083D" w:rsidRPr="00E3754A">
        <w:rPr>
          <w:lang w:val="en-AU"/>
        </w:rPr>
        <w:t>; Kerzner, 2011</w:t>
      </w:r>
      <w:r w:rsidRPr="00E3754A">
        <w:rPr>
          <w:lang w:val="en-AU"/>
        </w:rPr>
        <w:t xml:space="preserve">). </w:t>
      </w:r>
      <w:r w:rsidR="007728C5" w:rsidRPr="00E3754A">
        <w:rPr>
          <w:lang w:val="en-AU"/>
        </w:rPr>
        <w:t xml:space="preserve">Burgen (2016) proposes that supported decision-making </w:t>
      </w:r>
      <w:r w:rsidR="000768F8" w:rsidRPr="00E3754A">
        <w:rPr>
          <w:lang w:val="en-AU"/>
        </w:rPr>
        <w:t>should be concei</w:t>
      </w:r>
      <w:r w:rsidR="00B904E8" w:rsidRPr="00E3754A">
        <w:rPr>
          <w:lang w:val="en-AU"/>
        </w:rPr>
        <w:t xml:space="preserve">ved of </w:t>
      </w:r>
      <w:r w:rsidR="007728C5" w:rsidRPr="00E3754A">
        <w:rPr>
          <w:lang w:val="en-AU"/>
        </w:rPr>
        <w:t xml:space="preserve">as both a process (in which support is provided and efforts are made to accommodate for </w:t>
      </w:r>
      <w:r w:rsidR="00A205D7" w:rsidRPr="00E3754A">
        <w:rPr>
          <w:lang w:val="en-AU"/>
        </w:rPr>
        <w:t>and assist disabled people</w:t>
      </w:r>
      <w:r w:rsidRPr="00E3754A">
        <w:rPr>
          <w:lang w:val="en-AU"/>
        </w:rPr>
        <w:t xml:space="preserve">) and </w:t>
      </w:r>
      <w:r w:rsidR="007728C5" w:rsidRPr="00E3754A">
        <w:rPr>
          <w:lang w:val="en-AU"/>
        </w:rPr>
        <w:t>a legal paradigm.</w:t>
      </w:r>
      <w:r w:rsidR="00660CE3" w:rsidRPr="00E3754A">
        <w:rPr>
          <w:rStyle w:val="FootnoteReference"/>
          <w:lang w:val="en-AU"/>
        </w:rPr>
        <w:footnoteReference w:id="15"/>
      </w:r>
      <w:r w:rsidR="007728C5" w:rsidRPr="00E3754A">
        <w:rPr>
          <w:lang w:val="en-AU"/>
        </w:rPr>
        <w:t xml:space="preserve"> Authors such as Browning et al. (2014)</w:t>
      </w:r>
      <w:r w:rsidR="00C70F6B" w:rsidRPr="00E3754A">
        <w:rPr>
          <w:lang w:val="en-AU"/>
        </w:rPr>
        <w:t xml:space="preserve"> </w:t>
      </w:r>
      <w:r w:rsidR="007728C5" w:rsidRPr="00E3754A">
        <w:rPr>
          <w:lang w:val="en-AU"/>
        </w:rPr>
        <w:t>argue that the supported decision-making model requires legislative change to “legitimise the interdependent nature of decision-making and the concept of shared capacity” (p. 34</w:t>
      </w:r>
      <w:r w:rsidR="00316CD1" w:rsidRPr="00E3754A">
        <w:rPr>
          <w:lang w:val="en-AU"/>
        </w:rPr>
        <w:t xml:space="preserve">; also see </w:t>
      </w:r>
      <w:r w:rsidR="00C60DDF" w:rsidRPr="00E3754A">
        <w:rPr>
          <w:lang w:val="en-AU"/>
        </w:rPr>
        <w:t>Carney, 2013</w:t>
      </w:r>
      <w:r w:rsidR="007728C5" w:rsidRPr="00E3754A">
        <w:rPr>
          <w:lang w:val="en-AU"/>
        </w:rPr>
        <w:t>)</w:t>
      </w:r>
      <w:r w:rsidR="00266F27" w:rsidRPr="00E3754A">
        <w:rPr>
          <w:lang w:val="en-AU"/>
        </w:rPr>
        <w:t>, and thus requires legislative change to both recognise the status of supports to provide assistance and to provide a range of support options (Kerzner, 2011)</w:t>
      </w:r>
      <w:r w:rsidR="00E96125" w:rsidRPr="00E3754A">
        <w:rPr>
          <w:lang w:val="en-AU"/>
        </w:rPr>
        <w:t xml:space="preserve"> but also indicate a range of legally binding duties for supporters (Bach &amp; Kerzner, 2010)</w:t>
      </w:r>
      <w:r w:rsidR="007728C5" w:rsidRPr="00E3754A">
        <w:rPr>
          <w:lang w:val="en-AU"/>
        </w:rPr>
        <w:t>.</w:t>
      </w:r>
      <w:r w:rsidR="006F7CE1" w:rsidRPr="00E3754A">
        <w:rPr>
          <w:lang w:val="en-AU"/>
        </w:rPr>
        <w:t xml:space="preserve"> </w:t>
      </w:r>
      <w:r w:rsidR="00DE655E" w:rsidRPr="00DE655E">
        <w:rPr>
          <w:lang w:val="en-AU"/>
        </w:rPr>
        <w:t xml:space="preserve">As is highlighted in Parker (2016), legislative change is perceived to be crucial to courts and tribunals having the ability to grant access to supported decision-making. </w:t>
      </w:r>
      <w:r w:rsidR="00141B3A">
        <w:rPr>
          <w:lang w:val="en-AU"/>
        </w:rPr>
        <w:t xml:space="preserve">In proposing a list of recommendations for giving effect to supported decision-making in the New Zealand context, Douglass (2016) </w:t>
      </w:r>
      <w:r w:rsidR="00516154">
        <w:rPr>
          <w:lang w:val="en-AU"/>
        </w:rPr>
        <w:t xml:space="preserve">signals that legislative recognition is necessary to the process of implementation. </w:t>
      </w:r>
      <w:r w:rsidR="007728C5" w:rsidRPr="00E3754A">
        <w:rPr>
          <w:lang w:val="en-AU"/>
        </w:rPr>
        <w:t xml:space="preserve">McSherry &amp; Wilson (2011), who specifically examine New Zealand and Australia, also perceive the </w:t>
      </w:r>
      <w:r w:rsidR="00ED2F79" w:rsidRPr="00E3754A">
        <w:rPr>
          <w:lang w:val="en-AU"/>
        </w:rPr>
        <w:t>Convention as (potentially) having</w:t>
      </w:r>
      <w:r w:rsidR="007728C5" w:rsidRPr="00E3754A">
        <w:rPr>
          <w:lang w:val="en-AU"/>
        </w:rPr>
        <w:t xml:space="preserve"> a huge im</w:t>
      </w:r>
      <w:r w:rsidR="00A20F0F" w:rsidRPr="00E3754A">
        <w:rPr>
          <w:lang w:val="en-AU"/>
        </w:rPr>
        <w:t>pact on policy and legislation.</w:t>
      </w:r>
      <w:r w:rsidR="007728C5" w:rsidRPr="00E3754A">
        <w:rPr>
          <w:lang w:val="en-AU"/>
        </w:rPr>
        <w:t xml:space="preserve"> Minkowitz (</w:t>
      </w:r>
      <w:r w:rsidR="00ED2F79" w:rsidRPr="00E3754A">
        <w:rPr>
          <w:lang w:val="en-AU"/>
        </w:rPr>
        <w:t>2013</w:t>
      </w:r>
      <w:r w:rsidR="007728C5" w:rsidRPr="00E3754A">
        <w:rPr>
          <w:lang w:val="en-AU"/>
        </w:rPr>
        <w:t>)</w:t>
      </w:r>
      <w:r w:rsidR="00A20F0F" w:rsidRPr="00E3754A">
        <w:rPr>
          <w:lang w:val="en-AU"/>
        </w:rPr>
        <w:t>, however</w:t>
      </w:r>
      <w:r w:rsidR="006C1F6F">
        <w:rPr>
          <w:lang w:val="en-AU"/>
        </w:rPr>
        <w:t>,</w:t>
      </w:r>
      <w:r w:rsidR="007728C5" w:rsidRPr="00E3754A">
        <w:rPr>
          <w:lang w:val="en-AU"/>
        </w:rPr>
        <w:t xml:space="preserve"> argues that jurisdictions are going to have to proceed </w:t>
      </w:r>
      <w:r w:rsidR="001C2855" w:rsidRPr="00E3754A">
        <w:rPr>
          <w:lang w:val="en-AU"/>
        </w:rPr>
        <w:t>with a</w:t>
      </w:r>
      <w:r w:rsidR="007728C5" w:rsidRPr="00E3754A">
        <w:rPr>
          <w:lang w:val="en-AU"/>
        </w:rPr>
        <w:t xml:space="preserve"> level of uncertainty about how to effectively implement the supported decision-making framework.</w:t>
      </w:r>
      <w:r w:rsidR="000C6939" w:rsidRPr="00E3754A">
        <w:rPr>
          <w:lang w:val="en-AU"/>
        </w:rPr>
        <w:t xml:space="preserve"> This uncertainty is linked to the fact that, as yet, law reform would</w:t>
      </w:r>
      <w:r w:rsidR="00650592" w:rsidRPr="00E3754A">
        <w:rPr>
          <w:lang w:val="en-AU"/>
        </w:rPr>
        <w:t xml:space="preserve"> be</w:t>
      </w:r>
      <w:r w:rsidR="000C6939" w:rsidRPr="00E3754A">
        <w:rPr>
          <w:lang w:val="en-AU"/>
        </w:rPr>
        <w:t xml:space="preserve"> (and is) </w:t>
      </w:r>
      <w:r w:rsidR="00D411A5" w:rsidRPr="00E3754A">
        <w:rPr>
          <w:lang w:val="en-AU"/>
        </w:rPr>
        <w:t>occurring</w:t>
      </w:r>
      <w:r w:rsidR="000C6939" w:rsidRPr="00E3754A">
        <w:rPr>
          <w:lang w:val="en-AU"/>
        </w:rPr>
        <w:t xml:space="preserve"> in the absence of robust evidence about what actually works with regard to </w:t>
      </w:r>
      <w:r w:rsidR="00D411A5" w:rsidRPr="00E3754A">
        <w:rPr>
          <w:lang w:val="en-AU"/>
        </w:rPr>
        <w:t>embedding supported</w:t>
      </w:r>
      <w:r w:rsidR="000C6939" w:rsidRPr="00E3754A">
        <w:rPr>
          <w:lang w:val="en-AU"/>
        </w:rPr>
        <w:t xml:space="preserve"> decision-making through legislative change</w:t>
      </w:r>
      <w:r w:rsidR="007728C5" w:rsidRPr="00E3754A">
        <w:rPr>
          <w:lang w:val="en-AU"/>
        </w:rPr>
        <w:t xml:space="preserve"> (</w:t>
      </w:r>
      <w:r w:rsidR="00C60DDF" w:rsidRPr="00E3754A">
        <w:rPr>
          <w:lang w:val="en-AU"/>
        </w:rPr>
        <w:t>Carney &amp; Beaupert, 2013</w:t>
      </w:r>
      <w:r w:rsidR="007728C5" w:rsidRPr="00E3754A">
        <w:rPr>
          <w:lang w:val="en-AU"/>
        </w:rPr>
        <w:t xml:space="preserve">; </w:t>
      </w:r>
      <w:r w:rsidR="00316CD1" w:rsidRPr="00E3754A">
        <w:rPr>
          <w:lang w:val="en-AU"/>
        </w:rPr>
        <w:t xml:space="preserve">Carney, 2015b; </w:t>
      </w:r>
      <w:r w:rsidR="007728C5" w:rsidRPr="00E3754A">
        <w:rPr>
          <w:lang w:val="en-AU"/>
        </w:rPr>
        <w:t>Kohn &amp; Blumenthal, 2014; Watson, 2016a).</w:t>
      </w:r>
    </w:p>
    <w:p w14:paraId="0FF0C952" w14:textId="2F5402B0" w:rsidR="007728C5" w:rsidRPr="00E3754A" w:rsidRDefault="001C2855" w:rsidP="007728C5">
      <w:pPr>
        <w:pStyle w:val="NoSpacing"/>
        <w:rPr>
          <w:lang w:val="en-AU"/>
        </w:rPr>
      </w:pPr>
      <w:r w:rsidRPr="00E3754A">
        <w:rPr>
          <w:lang w:val="en-AU"/>
        </w:rPr>
        <w:t xml:space="preserve">Despite </w:t>
      </w:r>
      <w:r w:rsidR="000C6939" w:rsidRPr="00E3754A">
        <w:rPr>
          <w:lang w:val="en-AU"/>
        </w:rPr>
        <w:t>the acknowledgement that a clear pathway is yet to be determined</w:t>
      </w:r>
      <w:r w:rsidR="007728C5" w:rsidRPr="00E3754A">
        <w:rPr>
          <w:lang w:val="en-AU"/>
        </w:rPr>
        <w:t xml:space="preserve">, it is </w:t>
      </w:r>
      <w:r w:rsidRPr="00E3754A">
        <w:rPr>
          <w:lang w:val="en-AU"/>
        </w:rPr>
        <w:t xml:space="preserve">simultaneously </w:t>
      </w:r>
      <w:r w:rsidR="007728C5" w:rsidRPr="00E3754A">
        <w:rPr>
          <w:lang w:val="en-AU"/>
        </w:rPr>
        <w:t xml:space="preserve">argued that legislators need to know the ethos underlying the </w:t>
      </w:r>
      <w:r w:rsidRPr="00E3754A">
        <w:rPr>
          <w:lang w:val="en-AU"/>
        </w:rPr>
        <w:t>Convention</w:t>
      </w:r>
      <w:r w:rsidR="007728C5" w:rsidRPr="00E3754A">
        <w:rPr>
          <w:lang w:val="en-AU"/>
        </w:rPr>
        <w:t xml:space="preserve"> </w:t>
      </w:r>
      <w:r w:rsidRPr="00E3754A">
        <w:rPr>
          <w:lang w:val="en-AU"/>
        </w:rPr>
        <w:t xml:space="preserve">in order </w:t>
      </w:r>
      <w:r w:rsidR="00713008" w:rsidRPr="00E3754A">
        <w:rPr>
          <w:lang w:val="en-AU"/>
        </w:rPr>
        <w:t>to be</w:t>
      </w:r>
      <w:r w:rsidRPr="00E3754A">
        <w:rPr>
          <w:lang w:val="en-AU"/>
        </w:rPr>
        <w:t xml:space="preserve"> guided to make</w:t>
      </w:r>
      <w:r w:rsidR="007728C5" w:rsidRPr="00E3754A">
        <w:rPr>
          <w:lang w:val="en-AU"/>
        </w:rPr>
        <w:t xml:space="preserve"> appropriate legislative changes (</w:t>
      </w:r>
      <w:r w:rsidR="00646A36" w:rsidRPr="00E3754A">
        <w:rPr>
          <w:lang w:val="en-AU"/>
        </w:rPr>
        <w:t>Disabled Person’s Organisations</w:t>
      </w:r>
      <w:r w:rsidR="00D21805" w:rsidRPr="00E3754A">
        <w:rPr>
          <w:lang w:val="en-AU"/>
        </w:rPr>
        <w:t>, 2014</w:t>
      </w:r>
      <w:r w:rsidR="007728C5" w:rsidRPr="00E3754A">
        <w:rPr>
          <w:lang w:val="en-AU"/>
        </w:rPr>
        <w:t>).</w:t>
      </w:r>
    </w:p>
    <w:p w14:paraId="1971AA61" w14:textId="213B72A2" w:rsidR="007728C5" w:rsidRPr="00E3754A" w:rsidRDefault="00650592" w:rsidP="007728C5">
      <w:pPr>
        <w:pStyle w:val="NoSpacing"/>
        <w:rPr>
          <w:lang w:val="en-AU"/>
        </w:rPr>
      </w:pPr>
      <w:r w:rsidRPr="00E3754A">
        <w:rPr>
          <w:lang w:val="en-AU"/>
        </w:rPr>
        <w:t>As previously noted, w</w:t>
      </w:r>
      <w:r w:rsidR="00AC6AA4" w:rsidRPr="00E3754A">
        <w:rPr>
          <w:lang w:val="en-AU"/>
        </w:rPr>
        <w:t xml:space="preserve">ithin the context of </w:t>
      </w:r>
      <w:r w:rsidR="00B132CF" w:rsidRPr="00E3754A">
        <w:rPr>
          <w:lang w:val="en-AU"/>
        </w:rPr>
        <w:t xml:space="preserve">legislative </w:t>
      </w:r>
      <w:r w:rsidR="00D411A5" w:rsidRPr="00E3754A">
        <w:rPr>
          <w:lang w:val="en-AU"/>
        </w:rPr>
        <w:t>amendment</w:t>
      </w:r>
      <w:r w:rsidR="00B132CF" w:rsidRPr="00E3754A">
        <w:rPr>
          <w:lang w:val="en-AU"/>
        </w:rPr>
        <w:t xml:space="preserve"> and change</w:t>
      </w:r>
      <w:r w:rsidR="00AC6AA4" w:rsidRPr="00E3754A">
        <w:rPr>
          <w:lang w:val="en-AU"/>
        </w:rPr>
        <w:t xml:space="preserve">, it </w:t>
      </w:r>
      <w:r w:rsidRPr="00E3754A">
        <w:rPr>
          <w:lang w:val="en-AU"/>
        </w:rPr>
        <w:t>has been contended</w:t>
      </w:r>
      <w:r w:rsidR="00AC6AA4" w:rsidRPr="00E3754A">
        <w:rPr>
          <w:lang w:val="en-AU"/>
        </w:rPr>
        <w:t xml:space="preserve"> that disabled people</w:t>
      </w:r>
      <w:r w:rsidR="007728C5" w:rsidRPr="00E3754A">
        <w:rPr>
          <w:lang w:val="en-AU"/>
        </w:rPr>
        <w:t xml:space="preserve"> must be permitted to refuse support (</w:t>
      </w:r>
      <w:r w:rsidR="004425D1" w:rsidRPr="00E3754A">
        <w:rPr>
          <w:lang w:val="en-AU"/>
        </w:rPr>
        <w:t xml:space="preserve">Arstein-Kerslake &amp; Flynn, 2015; </w:t>
      </w:r>
      <w:r w:rsidR="00AC6AA4" w:rsidRPr="00E3754A">
        <w:rPr>
          <w:lang w:val="en-AU"/>
        </w:rPr>
        <w:t>Flynn &amp; Arstein-Kerslake, 2014) and</w:t>
      </w:r>
      <w:r w:rsidR="007728C5" w:rsidRPr="00E3754A">
        <w:rPr>
          <w:lang w:val="en-AU"/>
        </w:rPr>
        <w:t xml:space="preserve"> </w:t>
      </w:r>
      <w:r w:rsidR="00B132CF" w:rsidRPr="00E3754A">
        <w:rPr>
          <w:lang w:val="en-AU"/>
        </w:rPr>
        <w:t xml:space="preserve">to </w:t>
      </w:r>
      <w:r w:rsidR="007728C5" w:rsidRPr="00E3754A">
        <w:rPr>
          <w:lang w:val="en-AU"/>
        </w:rPr>
        <w:t xml:space="preserve">have their will and preferences respected, even when their choices are unorthodox or </w:t>
      </w:r>
      <w:r w:rsidR="0081563F" w:rsidRPr="00E3754A">
        <w:rPr>
          <w:lang w:val="en-AU"/>
        </w:rPr>
        <w:t xml:space="preserve">risky </w:t>
      </w:r>
      <w:r w:rsidR="007728C5" w:rsidRPr="00E3754A">
        <w:rPr>
          <w:lang w:val="en-AU"/>
        </w:rPr>
        <w:t xml:space="preserve">(Richardson, 2012; Series, 2015). For this reason, civil and criminal legal protection </w:t>
      </w:r>
      <w:r w:rsidR="00AE74D1" w:rsidRPr="00E3754A">
        <w:rPr>
          <w:lang w:val="en-AU"/>
        </w:rPr>
        <w:t xml:space="preserve">have been recognised as needing to be extended </w:t>
      </w:r>
      <w:r w:rsidR="007728C5" w:rsidRPr="00E3754A">
        <w:rPr>
          <w:lang w:val="en-AU"/>
        </w:rPr>
        <w:t xml:space="preserve">to third parties for </w:t>
      </w:r>
      <w:r w:rsidR="002A5DCF" w:rsidRPr="00E3754A">
        <w:rPr>
          <w:lang w:val="en-AU"/>
        </w:rPr>
        <w:t>when</w:t>
      </w:r>
      <w:r w:rsidR="007728C5" w:rsidRPr="00E3754A">
        <w:rPr>
          <w:lang w:val="en-AU"/>
        </w:rPr>
        <w:t xml:space="preserve"> the will and preferences of </w:t>
      </w:r>
      <w:r w:rsidR="002C5EA2" w:rsidRPr="00E3754A">
        <w:rPr>
          <w:lang w:val="en-AU"/>
        </w:rPr>
        <w:t xml:space="preserve">disabled </w:t>
      </w:r>
      <w:r w:rsidR="0055525C" w:rsidRPr="00E3754A">
        <w:rPr>
          <w:lang w:val="en-AU"/>
        </w:rPr>
        <w:t>people</w:t>
      </w:r>
      <w:r w:rsidR="007728C5" w:rsidRPr="00E3754A">
        <w:rPr>
          <w:lang w:val="en-AU"/>
        </w:rPr>
        <w:t xml:space="preserve"> are respected</w:t>
      </w:r>
      <w:r w:rsidR="002219A2" w:rsidRPr="00E3754A">
        <w:rPr>
          <w:lang w:val="en-AU"/>
        </w:rPr>
        <w:t>,</w:t>
      </w:r>
      <w:r w:rsidR="007728C5" w:rsidRPr="00E3754A">
        <w:rPr>
          <w:lang w:val="en-AU"/>
        </w:rPr>
        <w:t xml:space="preserve"> </w:t>
      </w:r>
      <w:r w:rsidR="00D86544">
        <w:rPr>
          <w:lang w:val="en-AU"/>
        </w:rPr>
        <w:t>and</w:t>
      </w:r>
      <w:r w:rsidR="00D86544" w:rsidRPr="00E3754A">
        <w:rPr>
          <w:lang w:val="en-AU"/>
        </w:rPr>
        <w:t xml:space="preserve"> </w:t>
      </w:r>
      <w:r w:rsidRPr="00E3754A">
        <w:rPr>
          <w:lang w:val="en-AU"/>
        </w:rPr>
        <w:t>when</w:t>
      </w:r>
      <w:r w:rsidR="007728C5" w:rsidRPr="00E3754A">
        <w:rPr>
          <w:lang w:val="en-AU"/>
        </w:rPr>
        <w:t xml:space="preserve"> </w:t>
      </w:r>
      <w:r w:rsidR="002219A2" w:rsidRPr="00E3754A">
        <w:rPr>
          <w:lang w:val="en-AU"/>
        </w:rPr>
        <w:t>their</w:t>
      </w:r>
      <w:r w:rsidR="007728C5" w:rsidRPr="00E3754A">
        <w:rPr>
          <w:lang w:val="en-AU"/>
        </w:rPr>
        <w:t xml:space="preserve"> will and preferences have potential negative consequences</w:t>
      </w:r>
      <w:r w:rsidR="00AE74D1" w:rsidRPr="00E3754A">
        <w:rPr>
          <w:lang w:val="en-AU"/>
        </w:rPr>
        <w:t xml:space="preserve"> (Arstein-Kerslake &amp; Flynn, 2015)</w:t>
      </w:r>
      <w:r w:rsidR="007728C5" w:rsidRPr="00E3754A">
        <w:rPr>
          <w:lang w:val="en-AU"/>
        </w:rPr>
        <w:t xml:space="preserve">. </w:t>
      </w:r>
      <w:r w:rsidR="00B65E4B" w:rsidRPr="00E3754A">
        <w:rPr>
          <w:lang w:val="en-AU"/>
        </w:rPr>
        <w:t>This is to avoid a supporter being implicated if upholding the will and preferences</w:t>
      </w:r>
      <w:r w:rsidR="007728C5" w:rsidRPr="00E3754A">
        <w:rPr>
          <w:lang w:val="en-AU"/>
        </w:rPr>
        <w:t xml:space="preserve"> of a person to the greatest extent possible </w:t>
      </w:r>
      <w:r w:rsidR="00B65E4B" w:rsidRPr="00E3754A">
        <w:rPr>
          <w:lang w:val="en-AU"/>
        </w:rPr>
        <w:t>exposes them to</w:t>
      </w:r>
      <w:r w:rsidR="007728C5" w:rsidRPr="00E3754A">
        <w:rPr>
          <w:lang w:val="en-AU"/>
        </w:rPr>
        <w:t xml:space="preserve"> civil or criminal liability</w:t>
      </w:r>
      <w:r w:rsidR="00FD1285" w:rsidRPr="00E3754A">
        <w:rPr>
          <w:lang w:val="en-AU"/>
        </w:rPr>
        <w:t>, such as negligence</w:t>
      </w:r>
      <w:r w:rsidR="007728C5" w:rsidRPr="00E3754A">
        <w:rPr>
          <w:lang w:val="en-AU"/>
        </w:rPr>
        <w:t xml:space="preserve"> (Arstein-Kerslake &amp; Flynn, 2015). </w:t>
      </w:r>
      <w:r w:rsidR="00B65E4B" w:rsidRPr="00E3754A">
        <w:rPr>
          <w:lang w:val="en-AU"/>
        </w:rPr>
        <w:t xml:space="preserve">It is argued, therefore that civil and criminal liability must be adjusted to enable </w:t>
      </w:r>
      <w:r w:rsidR="00D411A5" w:rsidRPr="00E3754A">
        <w:rPr>
          <w:lang w:val="en-AU"/>
        </w:rPr>
        <w:t>supporters to</w:t>
      </w:r>
      <w:r w:rsidR="00B65E4B" w:rsidRPr="00E3754A">
        <w:rPr>
          <w:lang w:val="en-AU"/>
        </w:rPr>
        <w:t xml:space="preserve"> </w:t>
      </w:r>
      <w:r w:rsidR="00D411A5" w:rsidRPr="00E3754A">
        <w:rPr>
          <w:lang w:val="en-AU"/>
        </w:rPr>
        <w:t>fulfil</w:t>
      </w:r>
      <w:r w:rsidR="00B65E4B" w:rsidRPr="00E3754A">
        <w:rPr>
          <w:lang w:val="en-AU"/>
        </w:rPr>
        <w:t xml:space="preserve"> their role adequately. The following examples outline legislative reform implemented by states parties in recognition of their obligations to Article 12 of the Convention.</w:t>
      </w:r>
    </w:p>
    <w:p w14:paraId="704FFBCC" w14:textId="0D755C28" w:rsidR="00773F85" w:rsidRPr="00E3754A" w:rsidRDefault="00C76D2A" w:rsidP="007728C5">
      <w:pPr>
        <w:pStyle w:val="NoSpacing"/>
        <w:rPr>
          <w:lang w:val="en-AU"/>
        </w:rPr>
      </w:pPr>
      <w:r w:rsidRPr="00E3754A">
        <w:rPr>
          <w:lang w:val="en-AU"/>
        </w:rPr>
        <w:t>According to the Handbook for Parliamentarians</w:t>
      </w:r>
      <w:r w:rsidR="00860424">
        <w:rPr>
          <w:rStyle w:val="FootnoteReference"/>
          <w:lang w:val="en-AU"/>
        </w:rPr>
        <w:footnoteReference w:id="16"/>
      </w:r>
      <w:r w:rsidR="00C70F6B" w:rsidRPr="00E3754A">
        <w:rPr>
          <w:lang w:val="en-AU"/>
        </w:rPr>
        <w:t xml:space="preserve"> (Byrnes et al., 2007</w:t>
      </w:r>
      <w:r w:rsidR="008F585D" w:rsidRPr="00E3754A">
        <w:rPr>
          <w:lang w:val="en-AU"/>
        </w:rPr>
        <w:t>, also see Kerzner, 2011</w:t>
      </w:r>
      <w:r w:rsidR="000B35E8">
        <w:rPr>
          <w:lang w:val="en-AU"/>
        </w:rPr>
        <w:t>; Parker, 2016</w:t>
      </w:r>
      <w:r w:rsidR="00C70F6B" w:rsidRPr="00E3754A">
        <w:rPr>
          <w:lang w:val="en-AU"/>
        </w:rPr>
        <w:t>)</w:t>
      </w:r>
      <w:r w:rsidRPr="00E3754A">
        <w:rPr>
          <w:lang w:val="en-AU"/>
        </w:rPr>
        <w:t>, reasonable accommodation is a necessary component of legislative change and providing legal protection against discrimination of disabled people.</w:t>
      </w:r>
    </w:p>
    <w:tbl>
      <w:tblPr>
        <w:tblStyle w:val="Style1"/>
        <w:tblW w:w="5000" w:type="pct"/>
        <w:tblLook w:val="04A0" w:firstRow="1" w:lastRow="0" w:firstColumn="1" w:lastColumn="0" w:noHBand="0" w:noVBand="1"/>
      </w:tblPr>
      <w:tblGrid>
        <w:gridCol w:w="9236"/>
      </w:tblGrid>
      <w:tr w:rsidR="007728C5" w:rsidRPr="00E3754A" w14:paraId="18877243" w14:textId="77777777" w:rsidTr="00382032">
        <w:tc>
          <w:tcPr>
            <w:tcW w:w="5000" w:type="pct"/>
          </w:tcPr>
          <w:p w14:paraId="3E27D0F1" w14:textId="53B5A70D" w:rsidR="007728C5" w:rsidRPr="00E3754A" w:rsidRDefault="007728C5" w:rsidP="007728C5">
            <w:pPr>
              <w:pStyle w:val="NoSpacing"/>
              <w:rPr>
                <w:lang w:val="en-AU"/>
              </w:rPr>
            </w:pPr>
            <w:r w:rsidRPr="00E3754A">
              <w:rPr>
                <w:rStyle w:val="Emphasis"/>
                <w:lang w:val="en-AU"/>
              </w:rPr>
              <w:t>Sweden</w:t>
            </w:r>
            <w:r w:rsidRPr="00E3754A">
              <w:rPr>
                <w:lang w:val="en-AU"/>
              </w:rPr>
              <w:t xml:space="preserve"> has made legislative provisions to replace formal guardianship with two means of suppor</w:t>
            </w:r>
            <w:r w:rsidR="00C5372C" w:rsidRPr="00E3754A">
              <w:rPr>
                <w:lang w:val="en-AU"/>
              </w:rPr>
              <w:t xml:space="preserve">t: the appointment of a mentor (‘god man’) </w:t>
            </w:r>
            <w:r w:rsidRPr="00E3754A">
              <w:rPr>
                <w:lang w:val="en-AU"/>
              </w:rPr>
              <w:t xml:space="preserve">to facilitate a </w:t>
            </w:r>
            <w:r w:rsidR="002C5EA2" w:rsidRPr="00E3754A">
              <w:rPr>
                <w:lang w:val="en-AU"/>
              </w:rPr>
              <w:t>disabled person</w:t>
            </w:r>
            <w:r w:rsidRPr="00E3754A">
              <w:rPr>
                <w:lang w:val="en-AU"/>
              </w:rPr>
              <w:t xml:space="preserve">’s agency and will and preferences, and the appointment of a third party to manage financial decisions and interests (Watson, 2016a). However, the </w:t>
            </w:r>
            <w:r w:rsidR="00A93B9F" w:rsidRPr="00E3754A">
              <w:rPr>
                <w:lang w:val="en-AU"/>
              </w:rPr>
              <w:t xml:space="preserve">Disability </w:t>
            </w:r>
            <w:r w:rsidRPr="00E3754A">
              <w:rPr>
                <w:lang w:val="en-AU"/>
              </w:rPr>
              <w:t>Committee is concerned that the appointment of the mentor is a form of substituted decision-making (</w:t>
            </w:r>
            <w:r w:rsidR="00521882" w:rsidRPr="00E3754A">
              <w:rPr>
                <w:lang w:val="en-AU"/>
              </w:rPr>
              <w:t>Committee on the Rights of Persons with Disabilities, 2014c</w:t>
            </w:r>
            <w:r w:rsidRPr="00E3754A">
              <w:rPr>
                <w:lang w:val="en-AU"/>
              </w:rPr>
              <w:t xml:space="preserve">). </w:t>
            </w:r>
          </w:p>
        </w:tc>
      </w:tr>
      <w:tr w:rsidR="00382032" w:rsidRPr="00E3754A" w14:paraId="128A6057" w14:textId="77777777" w:rsidTr="00382032">
        <w:tc>
          <w:tcPr>
            <w:tcW w:w="5000" w:type="pct"/>
          </w:tcPr>
          <w:p w14:paraId="493BB48D" w14:textId="5BBA6182" w:rsidR="00382032" w:rsidRPr="00E3754A" w:rsidRDefault="00382032" w:rsidP="006C1AEB">
            <w:pPr>
              <w:widowControl w:val="0"/>
              <w:autoSpaceDE w:val="0"/>
              <w:autoSpaceDN w:val="0"/>
              <w:adjustRightInd w:val="0"/>
              <w:spacing w:after="240" w:line="380" w:lineRule="atLeast"/>
              <w:jc w:val="left"/>
              <w:rPr>
                <w:rFonts w:ascii="Times" w:hAnsi="Times" w:cs="Times"/>
                <w:sz w:val="24"/>
                <w:lang w:val="en-AU"/>
              </w:rPr>
            </w:pPr>
            <w:r w:rsidRPr="00E3754A">
              <w:rPr>
                <w:rStyle w:val="Emphasis"/>
                <w:lang w:val="en-AU"/>
              </w:rPr>
              <w:t>Sweden</w:t>
            </w:r>
            <w:r w:rsidRPr="00E3754A">
              <w:rPr>
                <w:lang w:val="en-AU"/>
              </w:rPr>
              <w:t xml:space="preserve"> has completely discarded notions of ‘legal incapacity’ (Åkerberg, 2011; Committee on the Rights of Persons with Disabilities, 2014c). However, decisions can be recogni</w:t>
            </w:r>
            <w:r w:rsidR="004D6008" w:rsidRPr="00E3754A">
              <w:rPr>
                <w:lang w:val="en-AU"/>
              </w:rPr>
              <w:t>s</w:t>
            </w:r>
            <w:r w:rsidRPr="00E3754A">
              <w:rPr>
                <w:lang w:val="en-AU"/>
              </w:rPr>
              <w:t>ed as legally invalid, for example, when a person would not have made a choice had they been in a more optimal state to make decisions (Åkerberg, 2011). The Committee recogni</w:t>
            </w:r>
            <w:r w:rsidR="00FF15A8" w:rsidRPr="00E3754A">
              <w:rPr>
                <w:lang w:val="en-AU"/>
              </w:rPr>
              <w:t>s</w:t>
            </w:r>
            <w:r w:rsidRPr="00E3754A">
              <w:rPr>
                <w:lang w:val="en-AU"/>
              </w:rPr>
              <w:t>es that Sweden has abolished notions of ‘incapacity’ (see Committee on the Rights of Persons with Disabilities, 2014c) but authors such as Watson (2016a) take the position that Sweden implies incapacity through how people give effect to the second supported decision-making role of ‘Forvaltare’.</w:t>
            </w:r>
          </w:p>
        </w:tc>
      </w:tr>
      <w:tr w:rsidR="00382032" w:rsidRPr="00E3754A" w14:paraId="44BADBF9" w14:textId="77777777" w:rsidTr="00382032">
        <w:tc>
          <w:tcPr>
            <w:tcW w:w="5000" w:type="pct"/>
          </w:tcPr>
          <w:p w14:paraId="707146ED" w14:textId="77777777" w:rsidR="00382032" w:rsidRPr="00E3754A" w:rsidRDefault="00382032" w:rsidP="006C1AEB">
            <w:pPr>
              <w:pStyle w:val="NoSpacing"/>
              <w:rPr>
                <w:lang w:val="en-AU"/>
              </w:rPr>
            </w:pPr>
            <w:r w:rsidRPr="00E3754A">
              <w:rPr>
                <w:lang w:val="en-AU"/>
              </w:rPr>
              <w:t xml:space="preserve">Like New Zealand, </w:t>
            </w:r>
            <w:r w:rsidRPr="00E3754A">
              <w:rPr>
                <w:rStyle w:val="Emphasis"/>
                <w:lang w:val="en-AU"/>
              </w:rPr>
              <w:t>Ontario, Canada,</w:t>
            </w:r>
            <w:r w:rsidRPr="00E3754A">
              <w:rPr>
                <w:lang w:val="en-AU"/>
              </w:rPr>
              <w:t xml:space="preserve"> has a presumption of capacity whereby all persons are assumed to have legal capacity under law (there is a ‘presumption of capacity’). However, inconsistent with the Convention, it provides exception to cases where a person is significantly incapacitated or where the person is a risk to others or themselves (Davidson et al., 2016).</w:t>
            </w:r>
          </w:p>
        </w:tc>
      </w:tr>
      <w:tr w:rsidR="00382032" w:rsidRPr="00E3754A" w14:paraId="6929DBBA" w14:textId="77777777" w:rsidTr="00382032">
        <w:tc>
          <w:tcPr>
            <w:tcW w:w="5000" w:type="pct"/>
          </w:tcPr>
          <w:p w14:paraId="0509EF31" w14:textId="77777777" w:rsidR="00382032" w:rsidRPr="00E3754A" w:rsidRDefault="00382032" w:rsidP="006C1AEB">
            <w:pPr>
              <w:pStyle w:val="NoSpacing"/>
              <w:rPr>
                <w:lang w:val="en-AU"/>
              </w:rPr>
            </w:pPr>
            <w:r w:rsidRPr="00E3754A">
              <w:rPr>
                <w:rStyle w:val="Emphasis"/>
                <w:lang w:val="en-AU"/>
              </w:rPr>
              <w:t>Canada</w:t>
            </w:r>
            <w:r w:rsidRPr="00E3754A">
              <w:rPr>
                <w:lang w:val="en-AU"/>
              </w:rPr>
              <w:t xml:space="preserve"> has implemented a legislative change in the form of the Canadian Guardianship Law. This new legislation makes provisions for support networks, primarily informal supporters such as friends or family to support disabled people with decision-making (Gooding, 2013).</w:t>
            </w:r>
          </w:p>
        </w:tc>
      </w:tr>
      <w:tr w:rsidR="008E28C6" w:rsidRPr="00E3754A" w14:paraId="5409DB32" w14:textId="77777777" w:rsidTr="00382032">
        <w:tc>
          <w:tcPr>
            <w:tcW w:w="5000" w:type="pct"/>
          </w:tcPr>
          <w:p w14:paraId="421FABAD" w14:textId="183B8CAC" w:rsidR="008E28C6" w:rsidRPr="00E3754A" w:rsidRDefault="008E28C6" w:rsidP="008F585D">
            <w:pPr>
              <w:pStyle w:val="NoSpacing"/>
              <w:rPr>
                <w:lang w:val="en-AU"/>
              </w:rPr>
            </w:pPr>
            <w:r w:rsidRPr="00E3754A">
              <w:rPr>
                <w:rStyle w:val="Emphasis"/>
                <w:lang w:val="en-AU"/>
              </w:rPr>
              <w:t>Alberta, Canada</w:t>
            </w:r>
            <w:r w:rsidRPr="00E3754A">
              <w:rPr>
                <w:lang w:val="en-AU"/>
              </w:rPr>
              <w:t xml:space="preserve"> </w:t>
            </w:r>
            <w:r w:rsidR="00E53082" w:rsidRPr="00E3754A">
              <w:rPr>
                <w:lang w:val="en-AU"/>
              </w:rPr>
              <w:t>made legislative provisions for courts to legally recogni</w:t>
            </w:r>
            <w:r w:rsidR="00451F54" w:rsidRPr="00E3754A">
              <w:rPr>
                <w:lang w:val="en-AU"/>
              </w:rPr>
              <w:t>s</w:t>
            </w:r>
            <w:r w:rsidR="00E53082" w:rsidRPr="00E3754A">
              <w:rPr>
                <w:lang w:val="en-AU"/>
              </w:rPr>
              <w:t xml:space="preserve">e and authorise supporters </w:t>
            </w:r>
            <w:r w:rsidR="008F585D" w:rsidRPr="00E3754A">
              <w:rPr>
                <w:lang w:val="en-AU"/>
              </w:rPr>
              <w:t>to take on a particular scope of duties (co-decision-making duties) for a disabled person</w:t>
            </w:r>
            <w:r w:rsidR="00E53082" w:rsidRPr="00E3754A">
              <w:rPr>
                <w:lang w:val="en-AU"/>
              </w:rPr>
              <w:t xml:space="preserve"> (Kerzner, 2011).</w:t>
            </w:r>
          </w:p>
        </w:tc>
      </w:tr>
      <w:tr w:rsidR="00382032" w:rsidRPr="00E3754A" w14:paraId="34C5B269" w14:textId="77777777" w:rsidTr="00382032">
        <w:tc>
          <w:tcPr>
            <w:tcW w:w="5000" w:type="pct"/>
          </w:tcPr>
          <w:p w14:paraId="651CAA1E" w14:textId="77777777" w:rsidR="00382032" w:rsidRPr="00E3754A" w:rsidRDefault="00382032" w:rsidP="006C1AEB">
            <w:pPr>
              <w:pStyle w:val="NoSpacing"/>
              <w:rPr>
                <w:lang w:val="en-AU"/>
              </w:rPr>
            </w:pPr>
            <w:r w:rsidRPr="00E3754A">
              <w:rPr>
                <w:lang w:val="en-AU"/>
              </w:rPr>
              <w:t xml:space="preserve">In </w:t>
            </w:r>
            <w:r w:rsidRPr="00E3754A">
              <w:rPr>
                <w:rStyle w:val="Emphasis"/>
                <w:lang w:val="en-AU"/>
              </w:rPr>
              <w:t>Australia</w:t>
            </w:r>
            <w:r w:rsidRPr="00E3754A">
              <w:rPr>
                <w:lang w:val="en-AU"/>
              </w:rPr>
              <w:t>, the Charter of Human Rights and Responsibilities has been reviewed for the purpose of potentially adjusting to the obligations under the Convention. One subsection now added to the Charter includes:</w:t>
            </w:r>
          </w:p>
          <w:p w14:paraId="17B73CE8" w14:textId="77777777" w:rsidR="00382032" w:rsidRPr="00E3754A" w:rsidRDefault="00382032" w:rsidP="006C1AEB">
            <w:pPr>
              <w:pStyle w:val="Quote"/>
              <w:rPr>
                <w:lang w:val="en-AU"/>
              </w:rPr>
            </w:pPr>
            <w:r w:rsidRPr="00E3754A">
              <w:rPr>
                <w:lang w:val="en-AU"/>
              </w:rPr>
              <w:t>All persons have the right to enjoy legal capacity on an equal basis with others in all aspects of life. This includes, but is not limited to, persons with disabilities, children, women, older persons and Aboriginal persons.</w:t>
            </w:r>
          </w:p>
          <w:p w14:paraId="6BA85B5B" w14:textId="77777777" w:rsidR="00382032" w:rsidRPr="00E3754A" w:rsidRDefault="00382032" w:rsidP="006C1AEB">
            <w:pPr>
              <w:pStyle w:val="NoSpacing"/>
              <w:rPr>
                <w:lang w:val="en-AU"/>
              </w:rPr>
            </w:pPr>
            <w:r w:rsidRPr="00E3754A">
              <w:rPr>
                <w:lang w:val="en-AU"/>
              </w:rPr>
              <w:t>In addition, at the state level, Victoria has presented a draft Mental Health Bill (2014) which includes: statutory provisions for the presumption of capacity; a nominated persons scheme for people to act as representatives on a disabled person’s behalf; access to advocacy decision-making assistance, and safeguards (Davidson, 2016; Department of Health, 2014).</w:t>
            </w:r>
            <w:r w:rsidRPr="00E3754A">
              <w:rPr>
                <w:rStyle w:val="FootnoteReference"/>
                <w:lang w:val="en-AU"/>
              </w:rPr>
              <w:footnoteReference w:id="17"/>
            </w:r>
          </w:p>
        </w:tc>
      </w:tr>
      <w:tr w:rsidR="00382032" w:rsidRPr="00E3754A" w14:paraId="70FD2DF3" w14:textId="77777777" w:rsidTr="00382032">
        <w:tc>
          <w:tcPr>
            <w:tcW w:w="5000" w:type="pct"/>
          </w:tcPr>
          <w:p w14:paraId="6FFDA704" w14:textId="77777777" w:rsidR="00382032" w:rsidRPr="00E3754A" w:rsidRDefault="00382032" w:rsidP="006C1AEB">
            <w:pPr>
              <w:pStyle w:val="NoSpacing"/>
              <w:rPr>
                <w:lang w:val="en-AU"/>
              </w:rPr>
            </w:pPr>
            <w:r w:rsidRPr="00E3754A">
              <w:rPr>
                <w:rStyle w:val="Emphasis"/>
                <w:lang w:val="en-AU"/>
              </w:rPr>
              <w:t>Scotland</w:t>
            </w:r>
            <w:r w:rsidRPr="00E3754A">
              <w:rPr>
                <w:lang w:val="en-AU"/>
              </w:rPr>
              <w:t xml:space="preserve"> has made statutory provisions for disabled persons to access funded support services (advocacy) for people who meet particular criteria (Carlin, 2016; SIAA, 2016).</w:t>
            </w:r>
            <w:r w:rsidRPr="00E3754A">
              <w:rPr>
                <w:rStyle w:val="FootnoteReference"/>
                <w:lang w:val="en-AU"/>
              </w:rPr>
              <w:footnoteReference w:id="18"/>
            </w:r>
            <w:r w:rsidRPr="00E3754A">
              <w:rPr>
                <w:lang w:val="en-AU"/>
              </w:rPr>
              <w:t xml:space="preserve"> The criteria for the right to advocacy services is set out in the Mental Health (Care and Treatment) (Scotland) Act 2003, which reserves this right for people with a mental disorder (also see The Scottish Government, 2013). For the purposes of the Act it includes people with a mental illness, personality disorder, or learning disability.</w:t>
            </w:r>
          </w:p>
        </w:tc>
      </w:tr>
      <w:tr w:rsidR="001804B5" w:rsidRPr="00E3754A" w14:paraId="4FCF0D08" w14:textId="77777777" w:rsidTr="00382032">
        <w:tc>
          <w:tcPr>
            <w:tcW w:w="5000" w:type="pct"/>
          </w:tcPr>
          <w:p w14:paraId="095CFFD4" w14:textId="4D1663C1" w:rsidR="001804B5" w:rsidRPr="00E3754A" w:rsidRDefault="001804B5" w:rsidP="001804B5">
            <w:pPr>
              <w:pStyle w:val="NoSpacing"/>
              <w:rPr>
                <w:rStyle w:val="Emphasis"/>
                <w:lang w:val="en-AU"/>
              </w:rPr>
            </w:pPr>
            <w:r w:rsidRPr="00E3754A">
              <w:rPr>
                <w:rStyle w:val="Emphasis"/>
                <w:lang w:val="en-AU"/>
              </w:rPr>
              <w:t>Ireland</w:t>
            </w:r>
            <w:r w:rsidRPr="00E3754A">
              <w:rPr>
                <w:lang w:val="en-AU"/>
              </w:rPr>
              <w:t xml:space="preserve"> explored revising the legal duties within guardianship roles to replace the centrality of best interests with the centrality of ‘will and preference’. This was explored</w:t>
            </w:r>
            <w:r w:rsidR="00647DBC" w:rsidRPr="00E3754A">
              <w:rPr>
                <w:lang w:val="en-AU"/>
              </w:rPr>
              <w:t xml:space="preserve"> </w:t>
            </w:r>
            <w:r w:rsidRPr="00E3754A">
              <w:rPr>
                <w:lang w:val="en-AU"/>
              </w:rPr>
              <w:t>in the context of the Assisted Decision-Making (Capacity) Bill 2013</w:t>
            </w:r>
            <w:r w:rsidR="00127423" w:rsidRPr="00E3754A">
              <w:rPr>
                <w:lang w:val="en-AU"/>
              </w:rPr>
              <w:t xml:space="preserve"> (Series et al., 2014). However</w:t>
            </w:r>
            <w:r w:rsidR="006C1F6F">
              <w:rPr>
                <w:lang w:val="en-AU"/>
              </w:rPr>
              <w:t>,</w:t>
            </w:r>
            <w:r w:rsidR="00127423" w:rsidRPr="00E3754A">
              <w:rPr>
                <w:lang w:val="en-AU"/>
              </w:rPr>
              <w:t xml:space="preserve"> the Bill still permits the continuation of the substituted decision-making framework in legislation.</w:t>
            </w:r>
          </w:p>
        </w:tc>
      </w:tr>
      <w:tr w:rsidR="00382032" w:rsidRPr="00E3754A" w14:paraId="7913F8DB" w14:textId="77777777" w:rsidTr="00382032">
        <w:tc>
          <w:tcPr>
            <w:tcW w:w="5000" w:type="pct"/>
          </w:tcPr>
          <w:p w14:paraId="2119E286" w14:textId="43B776A9" w:rsidR="00773F85" w:rsidRPr="00E3754A" w:rsidRDefault="00382032" w:rsidP="006C1AEB">
            <w:pPr>
              <w:pStyle w:val="NoSpacing"/>
              <w:rPr>
                <w:lang w:val="en-AU"/>
              </w:rPr>
            </w:pPr>
            <w:r w:rsidRPr="00E3754A">
              <w:rPr>
                <w:rStyle w:val="Emphasis"/>
                <w:lang w:val="en-AU"/>
              </w:rPr>
              <w:t>Delaware</w:t>
            </w:r>
            <w:r w:rsidRPr="00E3754A">
              <w:rPr>
                <w:lang w:val="en-AU"/>
              </w:rPr>
              <w:t xml:space="preserve">, </w:t>
            </w:r>
            <w:r w:rsidRPr="00E3754A">
              <w:rPr>
                <w:rStyle w:val="Emphasis"/>
                <w:lang w:val="en-AU"/>
              </w:rPr>
              <w:t>USA</w:t>
            </w:r>
            <w:r w:rsidRPr="00E3754A">
              <w:rPr>
                <w:lang w:val="en-AU"/>
              </w:rPr>
              <w:t xml:space="preserve">, has implemented legislative change that recognises supported decision-making arrangements (“ASAN Praises Supported Decision-Making,”2016). Under law, the supporter is permitted to support decision-making, for example by means of assisting to organise or understand the components involved in a particular decision. The legislation makes provisions for these arrangements to extend to major life decisions. </w:t>
            </w:r>
          </w:p>
        </w:tc>
      </w:tr>
      <w:tr w:rsidR="00382032" w:rsidRPr="00E3754A" w14:paraId="083427FD" w14:textId="77777777" w:rsidTr="00382032">
        <w:tc>
          <w:tcPr>
            <w:tcW w:w="5000" w:type="pct"/>
          </w:tcPr>
          <w:p w14:paraId="78EBC6BD" w14:textId="5319F25F" w:rsidR="00382032" w:rsidRPr="00E3754A" w:rsidRDefault="00382032" w:rsidP="006A48CE">
            <w:pPr>
              <w:pStyle w:val="NoSpacing"/>
              <w:rPr>
                <w:highlight w:val="yellow"/>
                <w:lang w:val="en-AU"/>
              </w:rPr>
            </w:pPr>
            <w:r w:rsidRPr="00E3754A">
              <w:rPr>
                <w:rStyle w:val="Emphasis"/>
                <w:lang w:val="en-AU"/>
              </w:rPr>
              <w:t>Texas</w:t>
            </w:r>
            <w:r w:rsidRPr="00E3754A">
              <w:rPr>
                <w:lang w:val="en-AU"/>
              </w:rPr>
              <w:t xml:space="preserve">, </w:t>
            </w:r>
            <w:r w:rsidRPr="00E3754A">
              <w:rPr>
                <w:rStyle w:val="Emphasis"/>
                <w:lang w:val="en-AU"/>
              </w:rPr>
              <w:t>USA</w:t>
            </w:r>
            <w:r w:rsidRPr="00E3754A">
              <w:rPr>
                <w:lang w:val="en-AU"/>
              </w:rPr>
              <w:t>, has implemented legislative provisions for supported decision-making as an alternative to guardianship (Hiser, 2015). Supporters are granted legal recognition to support decision-making processes proceeding on the consent of the supported person (</w:t>
            </w:r>
            <w:r w:rsidR="006A48CE" w:rsidRPr="00E3754A">
              <w:rPr>
                <w:lang w:val="en-AU"/>
              </w:rPr>
              <w:t>“Supported Decision-Making Alternatives to Guardianship,</w:t>
            </w:r>
            <w:r w:rsidR="00E038B7" w:rsidRPr="00E3754A">
              <w:rPr>
                <w:lang w:val="en-AU"/>
              </w:rPr>
              <w:t>”</w:t>
            </w:r>
            <w:r w:rsidRPr="00E3754A">
              <w:rPr>
                <w:lang w:val="en-AU"/>
              </w:rPr>
              <w:t xml:space="preserve"> n.d.).</w:t>
            </w:r>
          </w:p>
        </w:tc>
      </w:tr>
      <w:tr w:rsidR="00382032" w:rsidRPr="00E3754A" w14:paraId="2AD77916" w14:textId="77777777" w:rsidTr="00382032">
        <w:tc>
          <w:tcPr>
            <w:tcW w:w="5000" w:type="pct"/>
          </w:tcPr>
          <w:p w14:paraId="2B4FAE1E" w14:textId="23520119" w:rsidR="00382032" w:rsidRPr="00E3754A" w:rsidRDefault="00382032" w:rsidP="007B6A4A">
            <w:pPr>
              <w:pStyle w:val="NoSpacing"/>
              <w:rPr>
                <w:lang w:val="en-AU"/>
              </w:rPr>
            </w:pPr>
            <w:r w:rsidRPr="00E3754A">
              <w:rPr>
                <w:rStyle w:val="Emphasis"/>
                <w:lang w:val="en-AU"/>
              </w:rPr>
              <w:t>England and Wales</w:t>
            </w:r>
            <w:r w:rsidRPr="00E3754A">
              <w:rPr>
                <w:lang w:val="en-AU"/>
              </w:rPr>
              <w:t xml:space="preserve"> have made legislative changes by introducing the English and Welsh Mental Capacity Act 2005 (MCA), which serves to regulate substituted decision-making (Watson, 2016a).</w:t>
            </w:r>
            <w:r w:rsidR="006F7CE1" w:rsidRPr="00E3754A">
              <w:rPr>
                <w:lang w:val="en-AU"/>
              </w:rPr>
              <w:t xml:space="preserve"> </w:t>
            </w:r>
            <w:r w:rsidR="007B6A4A" w:rsidRPr="00E3754A">
              <w:rPr>
                <w:lang w:val="en-AU"/>
              </w:rPr>
              <w:t xml:space="preserve">The notion of best interests is central to the framework (Williamson, 2007). Recent changes </w:t>
            </w:r>
            <w:r w:rsidRPr="00E3754A">
              <w:rPr>
                <w:lang w:val="en-AU"/>
              </w:rPr>
              <w:t>make provisions for a ‘best interests checklist’ so to establish procedural means of making best interests judgements</w:t>
            </w:r>
            <w:r w:rsidR="007B6A4A" w:rsidRPr="00E3754A">
              <w:rPr>
                <w:lang w:val="en-AU"/>
              </w:rPr>
              <w:t xml:space="preserve"> (Watson, 2016a)</w:t>
            </w:r>
            <w:r w:rsidRPr="00E3754A">
              <w:rPr>
                <w:lang w:val="en-AU"/>
              </w:rPr>
              <w:t>. However, this legislative change has been seen as problematic due to its conflation of legal capacity and mental capacity, and because it is not compliant with the Convention (The Centre for Disability Law and Policy in Galway, quoted in Watson, 2016a) due to the fact it centres around best interests, employs the functional test for legal capacity, and utilises notions of incapacity (</w:t>
            </w:r>
            <w:r w:rsidR="007B6A4A" w:rsidRPr="00E3754A">
              <w:rPr>
                <w:lang w:val="en-AU"/>
              </w:rPr>
              <w:t xml:space="preserve">Baxter &amp; Carr, 2007; </w:t>
            </w:r>
            <w:r w:rsidRPr="00E3754A">
              <w:rPr>
                <w:lang w:val="en-AU"/>
              </w:rPr>
              <w:t>Watson, 2016a).</w:t>
            </w:r>
          </w:p>
        </w:tc>
      </w:tr>
    </w:tbl>
    <w:p w14:paraId="4B0BB06A" w14:textId="43519F40" w:rsidR="001D2B09" w:rsidRPr="00E3754A" w:rsidRDefault="00C22D52" w:rsidP="001D2B09">
      <w:pPr>
        <w:pStyle w:val="NoSpacing"/>
        <w:rPr>
          <w:lang w:val="en-AU"/>
        </w:rPr>
      </w:pPr>
      <w:r w:rsidRPr="00E3754A">
        <w:rPr>
          <w:lang w:val="en-AU"/>
        </w:rPr>
        <w:t>As can be seen above, n</w:t>
      </w:r>
      <w:r w:rsidR="001D2B09" w:rsidRPr="00E3754A">
        <w:rPr>
          <w:lang w:val="en-AU"/>
        </w:rPr>
        <w:t>o state party or jurisdiction</w:t>
      </w:r>
      <w:r w:rsidRPr="00E3754A">
        <w:rPr>
          <w:lang w:val="en-AU"/>
        </w:rPr>
        <w:t>, including Canada and Australia,</w:t>
      </w:r>
      <w:r w:rsidR="001D2B09" w:rsidRPr="00E3754A">
        <w:rPr>
          <w:lang w:val="en-AU"/>
        </w:rPr>
        <w:t xml:space="preserve"> has fully replac</w:t>
      </w:r>
      <w:r w:rsidRPr="00E3754A">
        <w:rPr>
          <w:lang w:val="en-AU"/>
        </w:rPr>
        <w:t>ed substituted decision-making</w:t>
      </w:r>
      <w:r w:rsidR="001D2B09" w:rsidRPr="00E3754A">
        <w:rPr>
          <w:lang w:val="en-AU"/>
        </w:rPr>
        <w:t xml:space="preserve"> (Arstein-Kerslake &amp; Flynn, 2015). Jurisdictions continue to employ substituted decision-making in exceptional cases (Davidson et al. 2016; Government of Canada, 2016; Government of Australia, 2012). Davidson et al. (2016) argue that no jurisdiction will fully replace supported decision-making, and thus fully comply with Article 12, in the near future (as do Doyle &amp; Flynn, 2013 in the case of Ireland). </w:t>
      </w:r>
      <w:r w:rsidR="00773F85" w:rsidRPr="00E3754A">
        <w:rPr>
          <w:lang w:val="en-AU"/>
        </w:rPr>
        <w:t>Even</w:t>
      </w:r>
      <w:r w:rsidR="001D2B09" w:rsidRPr="00E3754A">
        <w:rPr>
          <w:lang w:val="en-AU"/>
        </w:rPr>
        <w:t xml:space="preserve"> Victoria, Australia and British Columbia, Canada</w:t>
      </w:r>
      <w:r w:rsidR="00B207F9" w:rsidRPr="00E3754A">
        <w:rPr>
          <w:lang w:val="en-AU"/>
        </w:rPr>
        <w:t xml:space="preserve">, which </w:t>
      </w:r>
      <w:r w:rsidR="00647DBC" w:rsidRPr="00E3754A">
        <w:rPr>
          <w:lang w:val="en-AU"/>
        </w:rPr>
        <w:t xml:space="preserve">both </w:t>
      </w:r>
      <w:r w:rsidR="00B207F9" w:rsidRPr="00E3754A">
        <w:rPr>
          <w:lang w:val="en-AU"/>
        </w:rPr>
        <w:t xml:space="preserve">are </w:t>
      </w:r>
      <w:r w:rsidR="00647DBC" w:rsidRPr="00E3754A">
        <w:rPr>
          <w:lang w:val="en-AU"/>
        </w:rPr>
        <w:t xml:space="preserve">jurisdictions </w:t>
      </w:r>
      <w:r w:rsidR="00B207F9" w:rsidRPr="00E3754A">
        <w:rPr>
          <w:lang w:val="en-AU"/>
        </w:rPr>
        <w:t>widely recognised as being progressive in their quest to embed Article 12 and supported decision-making</w:t>
      </w:r>
      <w:r w:rsidR="001D2B09" w:rsidRPr="00E3754A">
        <w:rPr>
          <w:lang w:val="en-AU"/>
        </w:rPr>
        <w:t xml:space="preserve"> (</w:t>
      </w:r>
      <w:r w:rsidR="000A5D75" w:rsidRPr="00E3754A">
        <w:rPr>
          <w:lang w:val="en-AU"/>
        </w:rPr>
        <w:t>Carney, 2015b</w:t>
      </w:r>
      <w:r w:rsidR="001D2B09" w:rsidRPr="00E3754A">
        <w:rPr>
          <w:lang w:val="en-AU"/>
        </w:rPr>
        <w:t xml:space="preserve">; </w:t>
      </w:r>
      <w:r w:rsidR="000A5D75" w:rsidRPr="00E3754A">
        <w:rPr>
          <w:lang w:val="en-AU"/>
        </w:rPr>
        <w:t>Carney, 2015a</w:t>
      </w:r>
      <w:r w:rsidR="001D2B09" w:rsidRPr="00E3754A">
        <w:rPr>
          <w:lang w:val="en-AU"/>
        </w:rPr>
        <w:t xml:space="preserve">; </w:t>
      </w:r>
      <w:r w:rsidR="00C60DDF" w:rsidRPr="00E3754A">
        <w:rPr>
          <w:lang w:val="en-AU"/>
        </w:rPr>
        <w:t>Carney &amp; Beaupert, 2013</w:t>
      </w:r>
      <w:r w:rsidR="001D2B09" w:rsidRPr="00E3754A">
        <w:rPr>
          <w:lang w:val="en-AU"/>
        </w:rPr>
        <w:t>; Kohn &amp; Blumenthal, 2014; Knox et al., 2</w:t>
      </w:r>
      <w:r w:rsidR="00773F85" w:rsidRPr="00E3754A">
        <w:rPr>
          <w:lang w:val="en-AU"/>
        </w:rPr>
        <w:t>016; Lang, 2011; Watson, 2016a) have not reached full compliance with the intent of Article 12.</w:t>
      </w:r>
      <w:r w:rsidR="001D2B09" w:rsidRPr="00E3754A">
        <w:rPr>
          <w:lang w:val="en-AU"/>
        </w:rPr>
        <w:t xml:space="preserve"> </w:t>
      </w:r>
    </w:p>
    <w:p w14:paraId="72E7E2D8" w14:textId="21C2B209" w:rsidR="00094857" w:rsidRPr="00E3754A" w:rsidRDefault="001D2B09" w:rsidP="00123C6C">
      <w:pPr>
        <w:pStyle w:val="NoSpacing"/>
        <w:rPr>
          <w:lang w:val="en-AU"/>
        </w:rPr>
      </w:pPr>
      <w:r w:rsidRPr="00E3754A">
        <w:rPr>
          <w:lang w:val="en-AU"/>
        </w:rPr>
        <w:t>At a federal level, Canada has recognised supported decision-making as the framework that should be dominant in the country (Ciavano, 2014). Although Canada has been described as a leading example (Devi et al., 2011), the Canadian provinces have reached different stages of the process towards supported decision-making. British Columbia has been praised for its progress on a Representation Agreement (RA) initiative, which extends its scope to support for personal, health, and financial matters. Victoria has also been commended in the literature on being the first jurisdiction in the world to implement legislative changes towards reforming their substituted decision-making model (</w:t>
      </w:r>
      <w:r w:rsidR="000A5D75" w:rsidRPr="00E3754A">
        <w:rPr>
          <w:lang w:val="en-AU"/>
        </w:rPr>
        <w:t>Carney, 2015b</w:t>
      </w:r>
      <w:r w:rsidRPr="00E3754A">
        <w:rPr>
          <w:lang w:val="en-AU"/>
        </w:rPr>
        <w:t xml:space="preserve">; </w:t>
      </w:r>
      <w:r w:rsidR="000A5D75" w:rsidRPr="00E3754A">
        <w:rPr>
          <w:lang w:val="en-AU"/>
        </w:rPr>
        <w:t>Carney, 2015a</w:t>
      </w:r>
      <w:r w:rsidRPr="00E3754A">
        <w:rPr>
          <w:lang w:val="en-AU"/>
        </w:rPr>
        <w:t xml:space="preserve">). </w:t>
      </w:r>
    </w:p>
    <w:p w14:paraId="4D922DB6" w14:textId="77777777" w:rsidR="00094857" w:rsidRPr="00E3754A" w:rsidRDefault="00094857">
      <w:pPr>
        <w:spacing w:line="240" w:lineRule="auto"/>
        <w:jc w:val="left"/>
        <w:rPr>
          <w:lang w:val="en-AU"/>
        </w:rPr>
      </w:pPr>
      <w:r w:rsidRPr="00E3754A">
        <w:rPr>
          <w:lang w:val="en-AU"/>
        </w:rPr>
        <w:br w:type="page"/>
      </w:r>
    </w:p>
    <w:tbl>
      <w:tblPr>
        <w:tblStyle w:val="Style5"/>
        <w:tblW w:w="5000" w:type="pct"/>
        <w:tblLook w:val="04A0" w:firstRow="1" w:lastRow="0" w:firstColumn="1" w:lastColumn="0" w:noHBand="0" w:noVBand="1"/>
      </w:tblPr>
      <w:tblGrid>
        <w:gridCol w:w="9236"/>
      </w:tblGrid>
      <w:tr w:rsidR="0052130F" w:rsidRPr="00E3754A" w14:paraId="07FA7919" w14:textId="77777777" w:rsidTr="0052130F">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3BAA1BD4" w14:textId="6809D4B3" w:rsidR="0052130F" w:rsidRPr="00E3754A" w:rsidRDefault="0052130F" w:rsidP="006D33BC">
            <w:pPr>
              <w:pStyle w:val="Heading3"/>
              <w:rPr>
                <w:lang w:val="en-AU"/>
              </w:rPr>
            </w:pPr>
            <w:bookmarkStart w:id="60" w:name="_Toc337970293"/>
            <w:bookmarkStart w:id="61" w:name="_Toc339036859"/>
            <w:r w:rsidRPr="00E3754A">
              <w:rPr>
                <w:lang w:val="en-AU"/>
              </w:rPr>
              <w:t xml:space="preserve">Approaches </w:t>
            </w:r>
            <w:r w:rsidR="006D33BC" w:rsidRPr="00E3754A">
              <w:rPr>
                <w:lang w:val="en-AU"/>
              </w:rPr>
              <w:t xml:space="preserve">to supported decision-making </w:t>
            </w:r>
            <w:r w:rsidRPr="00E3754A">
              <w:rPr>
                <w:lang w:val="en-AU"/>
              </w:rPr>
              <w:t>signalled in the literature</w:t>
            </w:r>
            <w:bookmarkEnd w:id="60"/>
            <w:bookmarkEnd w:id="61"/>
          </w:p>
        </w:tc>
      </w:tr>
    </w:tbl>
    <w:p w14:paraId="451117D6" w14:textId="77777777" w:rsidR="0052130F" w:rsidRPr="00E3754A" w:rsidRDefault="0052130F" w:rsidP="0052130F">
      <w:pPr>
        <w:pStyle w:val="Heading4"/>
        <w:rPr>
          <w:lang w:val="en-AU"/>
        </w:rPr>
      </w:pPr>
      <w:r w:rsidRPr="00E3754A">
        <w:rPr>
          <w:lang w:val="en-AU"/>
        </w:rPr>
        <w:t>Potential theoretical models</w:t>
      </w:r>
    </w:p>
    <w:p w14:paraId="2712CFEC" w14:textId="4854824A" w:rsidR="0052130F" w:rsidRPr="00E3754A" w:rsidRDefault="008A0D33" w:rsidP="0052130F">
      <w:pPr>
        <w:pStyle w:val="NoSpacing"/>
        <w:rPr>
          <w:lang w:val="en-AU"/>
        </w:rPr>
      </w:pPr>
      <w:r w:rsidRPr="00E3754A">
        <w:rPr>
          <w:lang w:val="en-AU"/>
        </w:rPr>
        <w:t xml:space="preserve">Several theoretical models of </w:t>
      </w:r>
      <w:r w:rsidR="008C38D3" w:rsidRPr="00E3754A">
        <w:rPr>
          <w:lang w:val="en-AU"/>
        </w:rPr>
        <w:t>supported</w:t>
      </w:r>
      <w:r w:rsidRPr="00E3754A">
        <w:rPr>
          <w:lang w:val="en-AU"/>
        </w:rPr>
        <w:t xml:space="preserve"> decision-making </w:t>
      </w:r>
      <w:r w:rsidR="00B00E46" w:rsidRPr="00E3754A">
        <w:rPr>
          <w:lang w:val="en-AU"/>
        </w:rPr>
        <w:t xml:space="preserve">have been posed. </w:t>
      </w:r>
      <w:r w:rsidR="00317C56" w:rsidRPr="00E3754A">
        <w:rPr>
          <w:lang w:val="en-AU"/>
        </w:rPr>
        <w:t>A</w:t>
      </w:r>
      <w:r w:rsidR="0052130F" w:rsidRPr="00E3754A">
        <w:rPr>
          <w:lang w:val="en-AU"/>
        </w:rPr>
        <w:t xml:space="preserve"> well-known conception of supported decision-making </w:t>
      </w:r>
      <w:r w:rsidR="00B71A79" w:rsidRPr="00E3754A">
        <w:rPr>
          <w:lang w:val="en-AU"/>
        </w:rPr>
        <w:t xml:space="preserve">is </w:t>
      </w:r>
      <w:r w:rsidR="0052130F" w:rsidRPr="00E3754A">
        <w:rPr>
          <w:lang w:val="en-AU"/>
        </w:rPr>
        <w:t xml:space="preserve">the Bach and Kerzner model (as cited in Bach &amp; Kerzner, 2010; Devi, 2013; Doyle &amp; Flynn, 2013; Gooding, 2013; </w:t>
      </w:r>
      <w:r w:rsidR="00AB0E67">
        <w:rPr>
          <w:lang w:val="en-AU"/>
        </w:rPr>
        <w:t xml:space="preserve">Parker, 2016; </w:t>
      </w:r>
      <w:r w:rsidR="0052130F" w:rsidRPr="00E3754A">
        <w:rPr>
          <w:lang w:val="en-AU"/>
        </w:rPr>
        <w:t xml:space="preserve">Watson, 2016a; Werner &amp; Chabany, 2015). This model consists of a continuum of support but </w:t>
      </w:r>
      <w:r w:rsidR="00EF0765" w:rsidRPr="00E3754A">
        <w:rPr>
          <w:lang w:val="en-AU"/>
        </w:rPr>
        <w:t>is grounded on the notion that legal capacity is a static status</w:t>
      </w:r>
      <w:r w:rsidR="0052130F" w:rsidRPr="00E3754A">
        <w:rPr>
          <w:lang w:val="en-AU"/>
        </w:rPr>
        <w:t xml:space="preserve"> (Devi, 2013). There are three areas on the continuum, all of which involve different levels of support depending on the person’s circumstances </w:t>
      </w:r>
      <w:r w:rsidR="00EF0765" w:rsidRPr="00E3754A">
        <w:rPr>
          <w:lang w:val="en-AU"/>
        </w:rPr>
        <w:t>but none make</w:t>
      </w:r>
      <w:r w:rsidR="0052130F" w:rsidRPr="00E3754A">
        <w:rPr>
          <w:lang w:val="en-AU"/>
        </w:rPr>
        <w:t xml:space="preserve"> statements or judgements about </w:t>
      </w:r>
      <w:r w:rsidR="007F7636" w:rsidRPr="00E3754A">
        <w:rPr>
          <w:lang w:val="en-AU"/>
        </w:rPr>
        <w:t>the</w:t>
      </w:r>
      <w:r w:rsidR="0052130F" w:rsidRPr="00E3754A">
        <w:rPr>
          <w:lang w:val="en-AU"/>
        </w:rPr>
        <w:t xml:space="preserve"> mental or legal capacity</w:t>
      </w:r>
      <w:r w:rsidR="007F7636" w:rsidRPr="00E3754A">
        <w:rPr>
          <w:lang w:val="en-AU"/>
        </w:rPr>
        <w:t xml:space="preserve"> of the </w:t>
      </w:r>
      <w:r w:rsidR="00957541" w:rsidRPr="00E3754A">
        <w:rPr>
          <w:lang w:val="en-AU"/>
        </w:rPr>
        <w:t>individual</w:t>
      </w:r>
      <w:r w:rsidR="0052130F" w:rsidRPr="00E3754A">
        <w:rPr>
          <w:lang w:val="en-AU"/>
        </w:rPr>
        <w:t xml:space="preserve"> (Bach &amp; Kerzner, 2010). These include:</w:t>
      </w:r>
    </w:p>
    <w:p w14:paraId="17BF6196" w14:textId="1D1B0852" w:rsidR="0052130F" w:rsidRPr="00E3754A" w:rsidRDefault="0052130F" w:rsidP="007E51DB">
      <w:pPr>
        <w:pStyle w:val="NoSpacing"/>
        <w:numPr>
          <w:ilvl w:val="0"/>
          <w:numId w:val="2"/>
        </w:numPr>
        <w:rPr>
          <w:lang w:val="en-AU"/>
        </w:rPr>
      </w:pPr>
      <w:r w:rsidRPr="00E3754A">
        <w:rPr>
          <w:rStyle w:val="SubtleEmphasis"/>
          <w:lang w:val="en-AU"/>
        </w:rPr>
        <w:t>Legally independent</w:t>
      </w:r>
      <w:r w:rsidRPr="00E3754A">
        <w:rPr>
          <w:i/>
          <w:lang w:val="en-AU"/>
        </w:rPr>
        <w:t>.</w:t>
      </w:r>
      <w:r w:rsidRPr="00E3754A">
        <w:rPr>
          <w:lang w:val="en-AU"/>
        </w:rPr>
        <w:t xml:space="preserve"> </w:t>
      </w:r>
      <w:r w:rsidR="003C3A15" w:rsidRPr="00E3754A">
        <w:rPr>
          <w:lang w:val="en-AU"/>
        </w:rPr>
        <w:t xml:space="preserve">This </w:t>
      </w:r>
      <w:r w:rsidRPr="00E3754A">
        <w:rPr>
          <w:lang w:val="en-AU"/>
        </w:rPr>
        <w:t xml:space="preserve">level refers to persons who need little support </w:t>
      </w:r>
      <w:r w:rsidR="00957541" w:rsidRPr="00E3754A">
        <w:rPr>
          <w:lang w:val="en-AU"/>
        </w:rPr>
        <w:t>and</w:t>
      </w:r>
      <w:r w:rsidRPr="00E3754A">
        <w:rPr>
          <w:lang w:val="en-AU"/>
        </w:rPr>
        <w:t xml:space="preserve"> make decisions relatively independently (Devi, 2013; Keeling, 2016). Like all people who make decisions, </w:t>
      </w:r>
      <w:r w:rsidR="00465D09" w:rsidRPr="00E3754A">
        <w:rPr>
          <w:lang w:val="en-AU"/>
        </w:rPr>
        <w:t xml:space="preserve">it is accepted that </w:t>
      </w:r>
      <w:r w:rsidRPr="00E3754A">
        <w:rPr>
          <w:lang w:val="en-AU"/>
        </w:rPr>
        <w:t>disabled people may refer to their family or close friends to help them examine an issue in depth or may need information to be provided to them in a more accessible (understandable) manner (Devi, 2013).</w:t>
      </w:r>
    </w:p>
    <w:p w14:paraId="240F6A98" w14:textId="77777777" w:rsidR="0052130F" w:rsidRPr="00E3754A" w:rsidRDefault="0052130F" w:rsidP="007E51DB">
      <w:pPr>
        <w:pStyle w:val="NoSpacing"/>
        <w:numPr>
          <w:ilvl w:val="0"/>
          <w:numId w:val="2"/>
        </w:numPr>
        <w:rPr>
          <w:lang w:val="en-AU"/>
        </w:rPr>
      </w:pPr>
      <w:r w:rsidRPr="00E3754A">
        <w:rPr>
          <w:rStyle w:val="SubtleEmphasis"/>
          <w:lang w:val="en-AU"/>
        </w:rPr>
        <w:t>Supported decision-making</w:t>
      </w:r>
      <w:r w:rsidRPr="00E3754A">
        <w:rPr>
          <w:i/>
          <w:lang w:val="en-AU"/>
        </w:rPr>
        <w:t>.</w:t>
      </w:r>
      <w:r w:rsidRPr="00E3754A">
        <w:rPr>
          <w:lang w:val="en-AU"/>
        </w:rPr>
        <w:t xml:space="preserve"> In this level of the continuum, there is recognition that more assistance is required. For example, a third party may become involved in order to assist a disabled person to exercise their capacity to the greatest extent possible by means of explanation, representation, decision-making or communicative aids, and/or other assistance (Devi, 2013; Keeling, 2016). The literature for supported decision-making typically regards all persons to have will and preferences, and it is argued that attempts must be made to ascertain the will and preferences of persons as much as possible, even when it requires great effort (Allen &amp; Tulich, 2015; Flynn &amp; Arstein-Kerslake, 2014).</w:t>
      </w:r>
    </w:p>
    <w:p w14:paraId="7E791E69" w14:textId="0692BB3A" w:rsidR="0052130F" w:rsidRPr="00E3754A" w:rsidRDefault="0052130F" w:rsidP="007E51DB">
      <w:pPr>
        <w:pStyle w:val="NoSpacing"/>
        <w:numPr>
          <w:ilvl w:val="0"/>
          <w:numId w:val="2"/>
        </w:numPr>
        <w:rPr>
          <w:lang w:val="en-AU"/>
        </w:rPr>
      </w:pPr>
      <w:r w:rsidRPr="00E3754A">
        <w:rPr>
          <w:rStyle w:val="SubtleEmphasis"/>
          <w:lang w:val="en-AU"/>
        </w:rPr>
        <w:t>Facilitated decision-making</w:t>
      </w:r>
      <w:r w:rsidRPr="00E3754A">
        <w:rPr>
          <w:i/>
          <w:lang w:val="en-AU"/>
        </w:rPr>
        <w:t>.</w:t>
      </w:r>
      <w:r w:rsidRPr="00E3754A">
        <w:rPr>
          <w:lang w:val="en-AU"/>
        </w:rPr>
        <w:t xml:space="preserve"> Facilitated decision-making is intended for more difficult </w:t>
      </w:r>
      <w:r w:rsidR="00465D09" w:rsidRPr="00E3754A">
        <w:rPr>
          <w:lang w:val="en-AU"/>
        </w:rPr>
        <w:t xml:space="preserve">(exceptional) </w:t>
      </w:r>
      <w:r w:rsidRPr="00E3754A">
        <w:rPr>
          <w:lang w:val="en-AU"/>
        </w:rPr>
        <w:t>cases where a disabled person’s will and preferences are not able to be communicated by the person themselves, the person has significant disabilities, and/or does not have a network of people to provide support (Bach &amp; Kerzner, 2010; Devi, 2013; Keeling, 2016). This level of support involves a representative executing the disabled person’s legal agency on their behalf; consistent with that person’s will and preferences and on the basis of the understanding and knowledge of the person (Arstein-Kerslake &amp; Flynn, 2015; Bach &amp; Kerzner, 2010; Flynn &amp; Arstein-Kerslake, 2014). The literature regards this level of support to be consistent with the Convention (Devi et al. 2011). Under a supported decision-making model, ‘facilitated decision-making’ would be employed in cases that are exceptionally difficult rat</w:t>
      </w:r>
      <w:r w:rsidR="00465D09" w:rsidRPr="00E3754A">
        <w:rPr>
          <w:lang w:val="en-AU"/>
        </w:rPr>
        <w:t xml:space="preserve">her than the traditional </w:t>
      </w:r>
      <w:r w:rsidRPr="00E3754A">
        <w:rPr>
          <w:lang w:val="en-AU"/>
        </w:rPr>
        <w:t>substitute decision-making model (Arstein-Kerslake &amp; Flynn, 2015; Flynn &amp; Arstein-Kerslake, 2014;</w:t>
      </w:r>
      <w:r w:rsidR="00BC79D5" w:rsidRPr="00E3754A">
        <w:rPr>
          <w:lang w:val="en-AU"/>
        </w:rPr>
        <w:t xml:space="preserve"> O’Mahony</w:t>
      </w:r>
      <w:r w:rsidRPr="00E3754A">
        <w:rPr>
          <w:lang w:val="en-AU"/>
        </w:rPr>
        <w:t xml:space="preserve">, 2012; Morrissey, 2012; Series, 2016;). The involved third party must execute the </w:t>
      </w:r>
      <w:r w:rsidRPr="00E3754A">
        <w:rPr>
          <w:i/>
          <w:lang w:val="en-AU"/>
        </w:rPr>
        <w:t>agency</w:t>
      </w:r>
      <w:r w:rsidRPr="00E3754A">
        <w:rPr>
          <w:lang w:val="en-AU"/>
        </w:rPr>
        <w:t xml:space="preserve"> of the disabled person, which </w:t>
      </w:r>
      <w:r w:rsidR="001A7241" w:rsidRPr="00E3754A">
        <w:rPr>
          <w:lang w:val="en-AU"/>
        </w:rPr>
        <w:t xml:space="preserve">is in </w:t>
      </w:r>
      <w:r w:rsidRPr="00E3754A">
        <w:rPr>
          <w:lang w:val="en-AU"/>
        </w:rPr>
        <w:t>contrast</w:t>
      </w:r>
      <w:r w:rsidR="001A7241" w:rsidRPr="00E3754A">
        <w:rPr>
          <w:lang w:val="en-AU"/>
        </w:rPr>
        <w:t xml:space="preserve"> with</w:t>
      </w:r>
      <w:r w:rsidRPr="00E3754A">
        <w:rPr>
          <w:lang w:val="en-AU"/>
        </w:rPr>
        <w:t xml:space="preserve"> substituted decision-making (Series, 2016). </w:t>
      </w:r>
      <w:r w:rsidR="001A7241" w:rsidRPr="00E3754A">
        <w:rPr>
          <w:lang w:val="en-AU"/>
        </w:rPr>
        <w:t>Critically</w:t>
      </w:r>
      <w:r w:rsidRPr="00E3754A">
        <w:rPr>
          <w:lang w:val="en-AU"/>
        </w:rPr>
        <w:t>, the person’s will and preferences remain at the cent</w:t>
      </w:r>
      <w:r w:rsidR="00957541" w:rsidRPr="00E3754A">
        <w:rPr>
          <w:lang w:val="en-AU"/>
        </w:rPr>
        <w:t>re</w:t>
      </w:r>
      <w:r w:rsidRPr="00E3754A">
        <w:rPr>
          <w:lang w:val="en-AU"/>
        </w:rPr>
        <w:t xml:space="preserve"> of the decision as the determining factor, and care is taken to not impose the will of another (best interests) on the disabled person (Arstein-Kerslake &amp; Flynn, 2015; Flynn &amp; Arstein-Kerslake, 2014).</w:t>
      </w:r>
    </w:p>
    <w:p w14:paraId="256CCDA2" w14:textId="4246ED15" w:rsidR="00947A13" w:rsidRDefault="00DD2700" w:rsidP="00317C56">
      <w:pPr>
        <w:pStyle w:val="NoSpacing"/>
        <w:rPr>
          <w:lang w:val="en-AU"/>
        </w:rPr>
      </w:pPr>
      <w:r>
        <w:rPr>
          <w:lang w:val="en-AU"/>
        </w:rPr>
        <w:t xml:space="preserve">Although Bach &amp; Kerzner also promoted last resort substituted-decision-making in </w:t>
      </w:r>
      <w:r w:rsidR="00F06FB1">
        <w:rPr>
          <w:lang w:val="en-AU"/>
        </w:rPr>
        <w:t xml:space="preserve">addition to </w:t>
      </w:r>
      <w:r>
        <w:rPr>
          <w:lang w:val="en-AU"/>
        </w:rPr>
        <w:t>this model, a body</w:t>
      </w:r>
      <w:r w:rsidR="008313E1">
        <w:rPr>
          <w:lang w:val="en-AU"/>
        </w:rPr>
        <w:t xml:space="preserve"> of literature has taken their proposed</w:t>
      </w:r>
      <w:r>
        <w:rPr>
          <w:lang w:val="en-AU"/>
        </w:rPr>
        <w:t xml:space="preserve"> </w:t>
      </w:r>
      <w:r w:rsidR="00F06FB1">
        <w:rPr>
          <w:lang w:val="en-AU"/>
        </w:rPr>
        <w:t>continuum</w:t>
      </w:r>
      <w:r w:rsidR="00C039A6">
        <w:rPr>
          <w:lang w:val="en-AU"/>
        </w:rPr>
        <w:t>-based framework</w:t>
      </w:r>
      <w:r>
        <w:rPr>
          <w:lang w:val="en-AU"/>
        </w:rPr>
        <w:t xml:space="preserve"> </w:t>
      </w:r>
      <w:r w:rsidR="008313E1">
        <w:rPr>
          <w:lang w:val="en-AU"/>
        </w:rPr>
        <w:t xml:space="preserve">further </w:t>
      </w:r>
      <w:r>
        <w:rPr>
          <w:lang w:val="en-AU"/>
        </w:rPr>
        <w:t>to conc</w:t>
      </w:r>
      <w:r w:rsidR="009E13D7">
        <w:rPr>
          <w:lang w:val="en-AU"/>
        </w:rPr>
        <w:t>e</w:t>
      </w:r>
      <w:r>
        <w:rPr>
          <w:lang w:val="en-AU"/>
        </w:rPr>
        <w:t>ive of a model in which substituted decision-making is not necessary</w:t>
      </w:r>
      <w:r w:rsidR="008313E1">
        <w:rPr>
          <w:lang w:val="en-AU"/>
        </w:rPr>
        <w:t xml:space="preserve"> at all</w:t>
      </w:r>
      <w:r w:rsidR="00FF6873">
        <w:rPr>
          <w:lang w:val="en-AU"/>
        </w:rPr>
        <w:t>.</w:t>
      </w:r>
      <w:r w:rsidR="008313E1">
        <w:rPr>
          <w:lang w:val="en-AU"/>
        </w:rPr>
        <w:t xml:space="preserve"> </w:t>
      </w:r>
      <w:r w:rsidR="00FF6873">
        <w:rPr>
          <w:lang w:val="en-AU"/>
        </w:rPr>
        <w:t>I</w:t>
      </w:r>
      <w:r w:rsidR="008313E1">
        <w:rPr>
          <w:lang w:val="en-AU"/>
        </w:rPr>
        <w:t>nstead</w:t>
      </w:r>
      <w:r>
        <w:rPr>
          <w:lang w:val="en-AU"/>
        </w:rPr>
        <w:t xml:space="preserve"> facilitated deci</w:t>
      </w:r>
      <w:r w:rsidR="008313E1">
        <w:rPr>
          <w:lang w:val="en-AU"/>
        </w:rPr>
        <w:t>sion-making and full support are sufficient provisions in</w:t>
      </w:r>
      <w:r>
        <w:rPr>
          <w:lang w:val="en-AU"/>
        </w:rPr>
        <w:t xml:space="preserve"> hard cases where substituted decision-making </w:t>
      </w:r>
      <w:r w:rsidR="008313E1">
        <w:rPr>
          <w:lang w:val="en-AU"/>
        </w:rPr>
        <w:t>would</w:t>
      </w:r>
      <w:r>
        <w:rPr>
          <w:lang w:val="en-AU"/>
        </w:rPr>
        <w:t xml:space="preserve"> usually </w:t>
      </w:r>
      <w:r w:rsidR="008313E1">
        <w:rPr>
          <w:lang w:val="en-AU"/>
        </w:rPr>
        <w:t xml:space="preserve">be </w:t>
      </w:r>
      <w:r>
        <w:rPr>
          <w:lang w:val="en-AU"/>
        </w:rPr>
        <w:t>utilised</w:t>
      </w:r>
      <w:r w:rsidR="00F06FB1">
        <w:rPr>
          <w:lang w:val="en-AU"/>
        </w:rPr>
        <w:t xml:space="preserve"> (see for example </w:t>
      </w:r>
      <w:r w:rsidR="00F06FB1" w:rsidRPr="00E3754A">
        <w:rPr>
          <w:lang w:val="en-AU"/>
        </w:rPr>
        <w:t>Arstein-Kerslake &amp; Flynn, 2015;</w:t>
      </w:r>
      <w:r w:rsidR="00F06FB1">
        <w:rPr>
          <w:lang w:val="en-AU"/>
        </w:rPr>
        <w:t xml:space="preserve"> </w:t>
      </w:r>
      <w:r w:rsidR="00F06FB1" w:rsidRPr="00E3754A">
        <w:rPr>
          <w:lang w:val="en-AU"/>
        </w:rPr>
        <w:t>Allen &amp; Tulich</w:t>
      </w:r>
      <w:r w:rsidR="00F06FB1">
        <w:rPr>
          <w:lang w:val="en-AU"/>
        </w:rPr>
        <w:t>, 2015;</w:t>
      </w:r>
      <w:r w:rsidR="00F06FB1" w:rsidRPr="00E3754A">
        <w:rPr>
          <w:lang w:val="en-AU"/>
        </w:rPr>
        <w:t xml:space="preserve"> Flynn &amp; Arstein-Kerslake, 2014</w:t>
      </w:r>
      <w:r w:rsidR="00F06FB1">
        <w:rPr>
          <w:lang w:val="en-AU"/>
        </w:rPr>
        <w:t>)</w:t>
      </w:r>
      <w:r>
        <w:rPr>
          <w:lang w:val="en-AU"/>
        </w:rPr>
        <w:t xml:space="preserve">. </w:t>
      </w:r>
      <w:r w:rsidR="0052130F" w:rsidRPr="00E3754A">
        <w:rPr>
          <w:lang w:val="en-AU"/>
        </w:rPr>
        <w:t>The</w:t>
      </w:r>
      <w:r>
        <w:rPr>
          <w:lang w:val="en-AU"/>
        </w:rPr>
        <w:t xml:space="preserve">se </w:t>
      </w:r>
      <w:r w:rsidR="00F06FB1">
        <w:rPr>
          <w:lang w:val="en-AU"/>
        </w:rPr>
        <w:t>independent, supported, and facilitated aspects</w:t>
      </w:r>
      <w:r>
        <w:rPr>
          <w:lang w:val="en-AU"/>
        </w:rPr>
        <w:t xml:space="preserve"> of the</w:t>
      </w:r>
      <w:r w:rsidR="0052130F" w:rsidRPr="00E3754A">
        <w:rPr>
          <w:lang w:val="en-AU"/>
        </w:rPr>
        <w:t xml:space="preserve"> Bach and Kerz</w:t>
      </w:r>
      <w:r w:rsidR="00342643" w:rsidRPr="00E3754A">
        <w:rPr>
          <w:lang w:val="en-AU"/>
        </w:rPr>
        <w:t>n</w:t>
      </w:r>
      <w:r w:rsidR="0052130F" w:rsidRPr="00E3754A">
        <w:rPr>
          <w:lang w:val="en-AU"/>
        </w:rPr>
        <w:t xml:space="preserve">er </w:t>
      </w:r>
      <w:r w:rsidR="00F06FB1">
        <w:rPr>
          <w:lang w:val="en-AU"/>
        </w:rPr>
        <w:t>continuum</w:t>
      </w:r>
      <w:r w:rsidR="00F06FB1" w:rsidRPr="00E3754A">
        <w:rPr>
          <w:lang w:val="en-AU"/>
        </w:rPr>
        <w:t xml:space="preserve"> </w:t>
      </w:r>
      <w:r w:rsidR="008313E1">
        <w:rPr>
          <w:lang w:val="en-AU"/>
        </w:rPr>
        <w:t xml:space="preserve">are </w:t>
      </w:r>
      <w:r w:rsidR="0052130F" w:rsidRPr="00E3754A">
        <w:rPr>
          <w:lang w:val="en-AU"/>
        </w:rPr>
        <w:t xml:space="preserve">considered to be consistent with the </w:t>
      </w:r>
      <w:r w:rsidR="00465D09" w:rsidRPr="00E3754A">
        <w:rPr>
          <w:lang w:val="en-AU"/>
        </w:rPr>
        <w:t>Convention</w:t>
      </w:r>
      <w:r w:rsidR="0052130F" w:rsidRPr="00E3754A">
        <w:rPr>
          <w:lang w:val="en-AU"/>
        </w:rPr>
        <w:t xml:space="preserve"> because all of its levels involve support</w:t>
      </w:r>
      <w:r w:rsidR="008B03D3">
        <w:rPr>
          <w:lang w:val="en-AU"/>
        </w:rPr>
        <w:t>ed,</w:t>
      </w:r>
      <w:r w:rsidR="0052130F" w:rsidRPr="00E3754A">
        <w:rPr>
          <w:lang w:val="en-AU"/>
        </w:rPr>
        <w:t xml:space="preserve"> rather than substituted</w:t>
      </w:r>
      <w:r w:rsidR="008B03D3">
        <w:rPr>
          <w:lang w:val="en-AU"/>
        </w:rPr>
        <w:t>,</w:t>
      </w:r>
      <w:r w:rsidR="0052130F" w:rsidRPr="00E3754A">
        <w:rPr>
          <w:lang w:val="en-AU"/>
        </w:rPr>
        <w:t xml:space="preserve"> decision-making,</w:t>
      </w:r>
      <w:r w:rsidR="00F06FB1">
        <w:rPr>
          <w:lang w:val="en-AU"/>
        </w:rPr>
        <w:t xml:space="preserve"> the centrality of will and preference,</w:t>
      </w:r>
      <w:r w:rsidR="0052130F" w:rsidRPr="00E3754A">
        <w:rPr>
          <w:lang w:val="en-AU"/>
        </w:rPr>
        <w:t xml:space="preserve"> disability-neutral assessments, and </w:t>
      </w:r>
      <w:r w:rsidR="00E4785E">
        <w:rPr>
          <w:lang w:val="en-AU"/>
        </w:rPr>
        <w:t>the discarding of</w:t>
      </w:r>
      <w:r w:rsidR="0052130F" w:rsidRPr="00E3754A">
        <w:rPr>
          <w:lang w:val="en-AU"/>
        </w:rPr>
        <w:t xml:space="preserve"> all notions of ‘legal incapacity’ (as was discussed in the earlier section on legal capacity) (</w:t>
      </w:r>
      <w:r w:rsidR="008B03D3">
        <w:rPr>
          <w:lang w:val="en-AU"/>
        </w:rPr>
        <w:t xml:space="preserve">see for example </w:t>
      </w:r>
      <w:r w:rsidR="0052130F" w:rsidRPr="00E3754A">
        <w:rPr>
          <w:lang w:val="en-AU"/>
        </w:rPr>
        <w:t>Flynn &amp; Arstein-Kerslake, 2014; Gooding et al., 2013; Richardson, 2012).</w:t>
      </w:r>
      <w:r w:rsidR="00F06FB1">
        <w:rPr>
          <w:lang w:val="en-AU"/>
        </w:rPr>
        <w:t xml:space="preserve"> </w:t>
      </w:r>
    </w:p>
    <w:p w14:paraId="45E7F3C2" w14:textId="22D534EA" w:rsidR="004A5F85" w:rsidRDefault="008B03D3" w:rsidP="00317C56">
      <w:pPr>
        <w:pStyle w:val="NoSpacing"/>
        <w:rPr>
          <w:lang w:val="en-AU"/>
        </w:rPr>
      </w:pPr>
      <w:r>
        <w:rPr>
          <w:lang w:val="en-AU"/>
        </w:rPr>
        <w:t>Douglass (2016)</w:t>
      </w:r>
      <w:r w:rsidR="00E4785E">
        <w:rPr>
          <w:lang w:val="en-AU"/>
        </w:rPr>
        <w:t xml:space="preserve"> has proposed a</w:t>
      </w:r>
      <w:r w:rsidR="00FF6873">
        <w:rPr>
          <w:lang w:val="en-AU"/>
        </w:rPr>
        <w:t xml:space="preserve">n alternative </w:t>
      </w:r>
      <w:r w:rsidR="00E4785E">
        <w:rPr>
          <w:lang w:val="en-AU"/>
        </w:rPr>
        <w:t>model for the New Zealand context,</w:t>
      </w:r>
      <w:r w:rsidR="00F06FB1">
        <w:rPr>
          <w:lang w:val="en-AU"/>
        </w:rPr>
        <w:t xml:space="preserve"> </w:t>
      </w:r>
      <w:r w:rsidR="00947A13">
        <w:rPr>
          <w:lang w:val="en-AU"/>
        </w:rPr>
        <w:t>which proceeds</w:t>
      </w:r>
      <w:r>
        <w:rPr>
          <w:lang w:val="en-AU"/>
        </w:rPr>
        <w:t xml:space="preserve"> on the premise that substituted</w:t>
      </w:r>
      <w:r w:rsidR="00947A13">
        <w:rPr>
          <w:lang w:val="en-AU"/>
        </w:rPr>
        <w:t xml:space="preserve"> decision-making is</w:t>
      </w:r>
      <w:r>
        <w:rPr>
          <w:lang w:val="en-AU"/>
        </w:rPr>
        <w:t xml:space="preserve"> necessary </w:t>
      </w:r>
      <w:r w:rsidR="00FF6873">
        <w:rPr>
          <w:lang w:val="en-AU"/>
        </w:rPr>
        <w:t>in</w:t>
      </w:r>
      <w:r>
        <w:rPr>
          <w:lang w:val="en-AU"/>
        </w:rPr>
        <w:t xml:space="preserve"> difficult cases</w:t>
      </w:r>
      <w:r w:rsidR="00E4785E">
        <w:rPr>
          <w:lang w:val="en-AU"/>
        </w:rPr>
        <w:t>. In Douglass’ model</w:t>
      </w:r>
      <w:r>
        <w:rPr>
          <w:lang w:val="en-AU"/>
        </w:rPr>
        <w:t xml:space="preserve"> practical support for decision-making is offered and provided</w:t>
      </w:r>
      <w:r w:rsidR="00C42E2F">
        <w:rPr>
          <w:lang w:val="en-AU"/>
        </w:rPr>
        <w:t>,</w:t>
      </w:r>
      <w:r>
        <w:rPr>
          <w:lang w:val="en-AU"/>
        </w:rPr>
        <w:t xml:space="preserve"> as much as </w:t>
      </w:r>
      <w:r w:rsidR="00C42E2F">
        <w:rPr>
          <w:lang w:val="en-AU"/>
        </w:rPr>
        <w:t>is reasonable,</w:t>
      </w:r>
      <w:r>
        <w:rPr>
          <w:lang w:val="en-AU"/>
        </w:rPr>
        <w:t xml:space="preserve"> on a continuum personalised to the disabled person</w:t>
      </w:r>
      <w:r w:rsidR="00C42E2F">
        <w:rPr>
          <w:lang w:val="en-AU"/>
        </w:rPr>
        <w:t>. The model allows for</w:t>
      </w:r>
      <w:r>
        <w:rPr>
          <w:lang w:val="en-AU"/>
        </w:rPr>
        <w:t xml:space="preserve"> substituted decision-making </w:t>
      </w:r>
      <w:r w:rsidR="00C42E2F">
        <w:rPr>
          <w:lang w:val="en-AU"/>
        </w:rPr>
        <w:t>to</w:t>
      </w:r>
      <w:r w:rsidR="00E4785E">
        <w:rPr>
          <w:lang w:val="en-AU"/>
        </w:rPr>
        <w:t xml:space="preserve"> be</w:t>
      </w:r>
      <w:r>
        <w:rPr>
          <w:lang w:val="en-AU"/>
        </w:rPr>
        <w:t xml:space="preserve"> utilised as a last resort</w:t>
      </w:r>
      <w:r w:rsidR="00C42E2F">
        <w:rPr>
          <w:lang w:val="en-AU"/>
        </w:rPr>
        <w:t>.</w:t>
      </w:r>
    </w:p>
    <w:p w14:paraId="72ABA987" w14:textId="31CC5499" w:rsidR="00317C56" w:rsidRPr="00E3754A" w:rsidRDefault="00317C56" w:rsidP="00317C56">
      <w:pPr>
        <w:pStyle w:val="NoSpacing"/>
        <w:rPr>
          <w:lang w:val="en-AU"/>
        </w:rPr>
      </w:pPr>
      <w:r w:rsidRPr="00E3754A">
        <w:rPr>
          <w:lang w:val="en-AU"/>
        </w:rPr>
        <w:t>Flynn &amp; Arstein-Kerslake (2014) have posed</w:t>
      </w:r>
      <w:r w:rsidR="00FF6873">
        <w:rPr>
          <w:lang w:val="en-AU"/>
        </w:rPr>
        <w:t xml:space="preserve"> yet</w:t>
      </w:r>
      <w:r w:rsidRPr="00E3754A">
        <w:rPr>
          <w:lang w:val="en-AU"/>
        </w:rPr>
        <w:t xml:space="preserve"> </w:t>
      </w:r>
      <w:r w:rsidR="00C42E2F">
        <w:rPr>
          <w:lang w:val="en-AU"/>
        </w:rPr>
        <w:t xml:space="preserve">another alternative, </w:t>
      </w:r>
      <w:r w:rsidRPr="00E3754A">
        <w:rPr>
          <w:lang w:val="en-AU"/>
        </w:rPr>
        <w:t xml:space="preserve">the ‘cognitive prosthesis model’. In this model, the support person is conceived of as a cognitive prosthesis; a mechanical tool for decision-making, which better enables disabled people to be full participants and express their interests (Flynn &amp; Arstein-Kerslake, 2014). Authors argue that thinking of supported decision-making in this way is a means of understanding and promoting the supporter as an empowering and neutral party (Arstein-Kerslake, 2016). </w:t>
      </w:r>
    </w:p>
    <w:p w14:paraId="17140943" w14:textId="76B40D4D" w:rsidR="002A6563" w:rsidRPr="00E3754A" w:rsidRDefault="00094857" w:rsidP="00E84B4A">
      <w:pPr>
        <w:spacing w:line="240" w:lineRule="auto"/>
        <w:jc w:val="left"/>
        <w:rPr>
          <w:lang w:val="en-AU"/>
        </w:rPr>
      </w:pPr>
      <w:r w:rsidRPr="00E3754A">
        <w:rPr>
          <w:lang w:val="en-AU"/>
        </w:rPr>
        <w:br w:type="page"/>
      </w:r>
    </w:p>
    <w:tbl>
      <w:tblPr>
        <w:tblStyle w:val="Style5"/>
        <w:tblW w:w="5000" w:type="pct"/>
        <w:tblLook w:val="04A0" w:firstRow="1" w:lastRow="0" w:firstColumn="1" w:lastColumn="0" w:noHBand="0" w:noVBand="1"/>
      </w:tblPr>
      <w:tblGrid>
        <w:gridCol w:w="9236"/>
      </w:tblGrid>
      <w:tr w:rsidR="002A6563" w:rsidRPr="00E3754A" w14:paraId="010456AA" w14:textId="77777777" w:rsidTr="00A620DA">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491335D0" w14:textId="1421B873" w:rsidR="002A6563" w:rsidRPr="00E3754A" w:rsidRDefault="00317C56" w:rsidP="009679FA">
            <w:pPr>
              <w:pStyle w:val="Heading3"/>
              <w:rPr>
                <w:lang w:val="en-AU"/>
              </w:rPr>
            </w:pPr>
            <w:bookmarkStart w:id="62" w:name="_Toc337970294"/>
            <w:bookmarkStart w:id="63" w:name="_Toc339036860"/>
            <w:r w:rsidRPr="00E3754A">
              <w:rPr>
                <w:lang w:val="en-AU"/>
              </w:rPr>
              <w:t>Supported decision-making in p</w:t>
            </w:r>
            <w:r w:rsidR="002A6563" w:rsidRPr="00E3754A">
              <w:rPr>
                <w:lang w:val="en-AU"/>
              </w:rPr>
              <w:t>ractice</w:t>
            </w:r>
            <w:bookmarkEnd w:id="62"/>
            <w:bookmarkEnd w:id="63"/>
          </w:p>
        </w:tc>
      </w:tr>
    </w:tbl>
    <w:p w14:paraId="75FC440A" w14:textId="4625611C" w:rsidR="004B089C" w:rsidRPr="00E3754A" w:rsidRDefault="00BE2BF0" w:rsidP="004B089C">
      <w:pPr>
        <w:pStyle w:val="NoSpacing"/>
        <w:rPr>
          <w:lang w:val="en-AU"/>
        </w:rPr>
      </w:pPr>
      <w:r w:rsidRPr="00E3754A">
        <w:rPr>
          <w:lang w:val="en-AU"/>
        </w:rPr>
        <w:t xml:space="preserve">Despite the dearth of empirical research, </w:t>
      </w:r>
      <w:r w:rsidR="002D6A5B" w:rsidRPr="00E3754A">
        <w:rPr>
          <w:lang w:val="en-AU"/>
        </w:rPr>
        <w:t>that which is</w:t>
      </w:r>
      <w:r w:rsidRPr="00E3754A">
        <w:rPr>
          <w:lang w:val="en-AU"/>
        </w:rPr>
        <w:t xml:space="preserve"> available has been very consistent in terms of its identification of the key elements of supported decision-making. These key elements include:</w:t>
      </w:r>
    </w:p>
    <w:p w14:paraId="6E14E426" w14:textId="77B9E074" w:rsidR="000E31F7" w:rsidRPr="00E3754A" w:rsidRDefault="00080454" w:rsidP="00CC4BF3">
      <w:pPr>
        <w:pStyle w:val="NoSpacing"/>
        <w:numPr>
          <w:ilvl w:val="0"/>
          <w:numId w:val="20"/>
        </w:numPr>
        <w:rPr>
          <w:lang w:val="en-AU"/>
        </w:rPr>
      </w:pPr>
      <w:r w:rsidRPr="00E3754A">
        <w:rPr>
          <w:i/>
          <w:lang w:val="en-AU"/>
        </w:rPr>
        <w:t>Positive relationships</w:t>
      </w:r>
      <w:r w:rsidRPr="00E3754A">
        <w:rPr>
          <w:lang w:val="en-AU"/>
        </w:rPr>
        <w:t>: T</w:t>
      </w:r>
      <w:r w:rsidR="000E31F7" w:rsidRPr="00E3754A">
        <w:rPr>
          <w:lang w:val="en-AU"/>
        </w:rPr>
        <w:t xml:space="preserve">he importance of the supporter-supported relationship being </w:t>
      </w:r>
      <w:r w:rsidR="000B12DC" w:rsidRPr="00E3754A">
        <w:rPr>
          <w:lang w:val="en-AU"/>
        </w:rPr>
        <w:t>based on</w:t>
      </w:r>
      <w:r w:rsidR="000E31F7" w:rsidRPr="00E3754A">
        <w:rPr>
          <w:lang w:val="en-AU"/>
        </w:rPr>
        <w:t xml:space="preserve"> trust, positive regard, and honest interaction</w:t>
      </w:r>
      <w:r w:rsidR="00BE2BF0" w:rsidRPr="00E3754A">
        <w:rPr>
          <w:lang w:val="en-AU"/>
        </w:rPr>
        <w:t xml:space="preserve"> has been universally highlighted</w:t>
      </w:r>
      <w:r w:rsidR="000E31F7" w:rsidRPr="00E3754A">
        <w:rPr>
          <w:lang w:val="en-AU"/>
        </w:rPr>
        <w:t xml:space="preserve"> (Browning et al, 2014; Devi, 2013; </w:t>
      </w:r>
      <w:r w:rsidR="00081D83" w:rsidRPr="00E3754A">
        <w:rPr>
          <w:lang w:val="en-AU"/>
        </w:rPr>
        <w:t xml:space="preserve">Glen, 2013; </w:t>
      </w:r>
      <w:r w:rsidR="000E31F7" w:rsidRPr="00E3754A">
        <w:rPr>
          <w:lang w:val="en-AU"/>
        </w:rPr>
        <w:t xml:space="preserve">Keeling, 2016; Morrissey, 2012; McDaid &amp; Delaney, 2010; Nunnelley, 2015; </w:t>
      </w:r>
      <w:r w:rsidR="003D2609" w:rsidRPr="00E3754A">
        <w:rPr>
          <w:lang w:val="en-AU"/>
        </w:rPr>
        <w:t>Pathare &amp; Shields, 2012</w:t>
      </w:r>
      <w:r w:rsidR="000E31F7" w:rsidRPr="00E3754A">
        <w:rPr>
          <w:lang w:val="en-AU"/>
        </w:rPr>
        <w:t xml:space="preserve">; Series, 2015; Stainton, 2015; Enabling Good Lives, n.d.; Gooding, 2015; </w:t>
      </w:r>
      <w:r w:rsidR="004B089C" w:rsidRPr="00E3754A">
        <w:rPr>
          <w:lang w:val="en-AU"/>
        </w:rPr>
        <w:t>Government of Alberta, 2010</w:t>
      </w:r>
      <w:r w:rsidR="000E31F7" w:rsidRPr="00E3754A">
        <w:rPr>
          <w:lang w:val="en-AU"/>
        </w:rPr>
        <w:t xml:space="preserve">; </w:t>
      </w:r>
      <w:r w:rsidR="004B089C" w:rsidRPr="00E3754A">
        <w:rPr>
          <w:lang w:val="en-AU"/>
        </w:rPr>
        <w:t xml:space="preserve">Victorian Law Reform Commission, 2012; </w:t>
      </w:r>
      <w:r w:rsidR="00BE2BF0" w:rsidRPr="00E3754A">
        <w:rPr>
          <w:lang w:val="en-AU"/>
        </w:rPr>
        <w:t xml:space="preserve">Watson, 2016a; Woudzia, 2016). Furthermore, decision-making relationships </w:t>
      </w:r>
      <w:r w:rsidR="000B12DC" w:rsidRPr="00E3754A">
        <w:rPr>
          <w:lang w:val="en-AU"/>
        </w:rPr>
        <w:t>have been identified</w:t>
      </w:r>
      <w:r w:rsidR="000975F9" w:rsidRPr="00E3754A">
        <w:rPr>
          <w:lang w:val="en-AU"/>
        </w:rPr>
        <w:t xml:space="preserve"> as </w:t>
      </w:r>
      <w:r w:rsidR="00BE2BF0" w:rsidRPr="00E3754A">
        <w:rPr>
          <w:lang w:val="en-AU"/>
        </w:rPr>
        <w:t>optimal when they are ongoing</w:t>
      </w:r>
      <w:r w:rsidR="000E31F7" w:rsidRPr="00E3754A">
        <w:rPr>
          <w:lang w:val="en-AU"/>
        </w:rPr>
        <w:t xml:space="preserve">, long-term, and stable </w:t>
      </w:r>
      <w:r w:rsidR="00472990" w:rsidRPr="00E3754A">
        <w:rPr>
          <w:lang w:val="en-AU"/>
        </w:rPr>
        <w:t>(</w:t>
      </w:r>
      <w:r w:rsidR="000A5D75" w:rsidRPr="00E3754A">
        <w:rPr>
          <w:lang w:val="en-AU"/>
        </w:rPr>
        <w:t>Carney, 2015b</w:t>
      </w:r>
      <w:r w:rsidR="00184F2A" w:rsidRPr="00E3754A">
        <w:rPr>
          <w:lang w:val="en-AU"/>
        </w:rPr>
        <w:t>; Devi, 2013</w:t>
      </w:r>
      <w:r w:rsidR="000E31F7" w:rsidRPr="00E3754A">
        <w:rPr>
          <w:lang w:val="en-AU"/>
        </w:rPr>
        <w:t xml:space="preserve">). For example, for persons with acquired disabilities, having knowledge of the person’s </w:t>
      </w:r>
      <w:r w:rsidR="009C7531" w:rsidRPr="00E3754A">
        <w:rPr>
          <w:lang w:val="en-AU"/>
        </w:rPr>
        <w:t xml:space="preserve">previous life </w:t>
      </w:r>
      <w:r w:rsidR="000E31F7" w:rsidRPr="00E3754A">
        <w:rPr>
          <w:lang w:val="en-AU"/>
        </w:rPr>
        <w:t xml:space="preserve">history </w:t>
      </w:r>
      <w:r w:rsidR="009C7531" w:rsidRPr="00E3754A">
        <w:rPr>
          <w:lang w:val="en-AU"/>
        </w:rPr>
        <w:t>assists</w:t>
      </w:r>
      <w:r w:rsidR="000E31F7" w:rsidRPr="00E3754A">
        <w:rPr>
          <w:lang w:val="en-AU"/>
        </w:rPr>
        <w:t xml:space="preserve"> supporters </w:t>
      </w:r>
      <w:r w:rsidR="009C7531" w:rsidRPr="00E3754A">
        <w:rPr>
          <w:lang w:val="en-AU"/>
        </w:rPr>
        <w:t xml:space="preserve">to </w:t>
      </w:r>
      <w:r w:rsidR="000E31F7" w:rsidRPr="00E3754A">
        <w:rPr>
          <w:lang w:val="en-AU"/>
        </w:rPr>
        <w:t xml:space="preserve">transition into the supporter role and </w:t>
      </w:r>
      <w:r w:rsidR="009C7531" w:rsidRPr="00E3754A">
        <w:rPr>
          <w:lang w:val="en-AU"/>
        </w:rPr>
        <w:t xml:space="preserve">ensures that support is orientated toward the person’s </w:t>
      </w:r>
      <w:r w:rsidR="000E31F7" w:rsidRPr="00E3754A">
        <w:rPr>
          <w:lang w:val="en-AU"/>
        </w:rPr>
        <w:t xml:space="preserve">will and preference (Knox et al., 2016). Additionally, encouraging </w:t>
      </w:r>
      <w:r w:rsidR="002C5EA2" w:rsidRPr="00E3754A">
        <w:rPr>
          <w:lang w:val="en-AU"/>
        </w:rPr>
        <w:t xml:space="preserve">disabled </w:t>
      </w:r>
      <w:r w:rsidR="00316778" w:rsidRPr="00E3754A">
        <w:rPr>
          <w:lang w:val="en-AU"/>
        </w:rPr>
        <w:t xml:space="preserve">people </w:t>
      </w:r>
      <w:r w:rsidR="000975F9" w:rsidRPr="00E3754A">
        <w:rPr>
          <w:lang w:val="en-AU"/>
        </w:rPr>
        <w:t xml:space="preserve">to make </w:t>
      </w:r>
      <w:r w:rsidR="00316778" w:rsidRPr="00E3754A">
        <w:rPr>
          <w:lang w:val="en-AU"/>
        </w:rPr>
        <w:t>both small and large</w:t>
      </w:r>
      <w:r w:rsidR="000E31F7" w:rsidRPr="00E3754A">
        <w:rPr>
          <w:lang w:val="en-AU"/>
        </w:rPr>
        <w:t xml:space="preserve"> decisions</w:t>
      </w:r>
      <w:r w:rsidR="00DD6B4C">
        <w:rPr>
          <w:lang w:val="en-AU"/>
        </w:rPr>
        <w:t>,</w:t>
      </w:r>
      <w:r w:rsidR="000E31F7" w:rsidRPr="00E3754A">
        <w:rPr>
          <w:lang w:val="en-AU"/>
        </w:rPr>
        <w:t xml:space="preserve"> and showing interest in their choices </w:t>
      </w:r>
      <w:r w:rsidR="00BC7F3F" w:rsidRPr="00E3754A">
        <w:rPr>
          <w:lang w:val="en-AU"/>
        </w:rPr>
        <w:t>has been identified as critical</w:t>
      </w:r>
      <w:r w:rsidR="000E31F7" w:rsidRPr="00E3754A">
        <w:rPr>
          <w:lang w:val="en-AU"/>
        </w:rPr>
        <w:t xml:space="preserve"> to facilitating </w:t>
      </w:r>
      <w:r w:rsidR="00316778" w:rsidRPr="00E3754A">
        <w:rPr>
          <w:lang w:val="en-AU"/>
        </w:rPr>
        <w:t>and developing</w:t>
      </w:r>
      <w:r w:rsidR="000E31F7" w:rsidRPr="00E3754A">
        <w:rPr>
          <w:lang w:val="en-AU"/>
        </w:rPr>
        <w:t xml:space="preserve"> confidence and learning (Tracy, 2015). Some </w:t>
      </w:r>
      <w:r w:rsidR="000E6270" w:rsidRPr="00E3754A">
        <w:rPr>
          <w:lang w:val="en-AU"/>
        </w:rPr>
        <w:t xml:space="preserve">research </w:t>
      </w:r>
      <w:r w:rsidR="00BC7F3F" w:rsidRPr="00E3754A">
        <w:rPr>
          <w:lang w:val="en-AU"/>
        </w:rPr>
        <w:t>has highlighted</w:t>
      </w:r>
      <w:r w:rsidR="000E6270" w:rsidRPr="00E3754A">
        <w:rPr>
          <w:lang w:val="en-AU"/>
        </w:rPr>
        <w:t xml:space="preserve"> that disabled people’s</w:t>
      </w:r>
      <w:r w:rsidR="000E31F7" w:rsidRPr="00E3754A">
        <w:rPr>
          <w:lang w:val="en-AU"/>
        </w:rPr>
        <w:t xml:space="preserve"> participat</w:t>
      </w:r>
      <w:r w:rsidR="000E6270" w:rsidRPr="00E3754A">
        <w:rPr>
          <w:lang w:val="en-AU"/>
        </w:rPr>
        <w:t>ion depends</w:t>
      </w:r>
      <w:r w:rsidR="000E31F7" w:rsidRPr="00E3754A">
        <w:rPr>
          <w:lang w:val="en-AU"/>
        </w:rPr>
        <w:t xml:space="preserve"> on the </w:t>
      </w:r>
      <w:r w:rsidR="000E6270" w:rsidRPr="00E3754A">
        <w:rPr>
          <w:lang w:val="en-AU"/>
        </w:rPr>
        <w:t xml:space="preserve">decision-making </w:t>
      </w:r>
      <w:r w:rsidR="000E31F7" w:rsidRPr="00E3754A">
        <w:rPr>
          <w:lang w:val="en-AU"/>
        </w:rPr>
        <w:t xml:space="preserve">opportunities </w:t>
      </w:r>
      <w:r w:rsidR="000E6270" w:rsidRPr="00E3754A">
        <w:rPr>
          <w:lang w:val="en-AU"/>
        </w:rPr>
        <w:t xml:space="preserve">they have been </w:t>
      </w:r>
      <w:r w:rsidR="000E31F7" w:rsidRPr="00E3754A">
        <w:rPr>
          <w:lang w:val="en-AU"/>
        </w:rPr>
        <w:t xml:space="preserve">presented </w:t>
      </w:r>
      <w:r w:rsidR="000E6270" w:rsidRPr="00E3754A">
        <w:rPr>
          <w:lang w:val="en-AU"/>
        </w:rPr>
        <w:t>with</w:t>
      </w:r>
      <w:r w:rsidR="000975F9" w:rsidRPr="00E3754A">
        <w:rPr>
          <w:lang w:val="en-AU"/>
        </w:rPr>
        <w:t xml:space="preserve"> (Werner, 2012) and e</w:t>
      </w:r>
      <w:r w:rsidR="000E31F7" w:rsidRPr="00E3754A">
        <w:rPr>
          <w:lang w:val="en-AU"/>
        </w:rPr>
        <w:t xml:space="preserve">vidence also suggests that a person’s decision-making ability and participation can improve </w:t>
      </w:r>
      <w:r w:rsidR="00E75C4F" w:rsidRPr="00E3754A">
        <w:rPr>
          <w:lang w:val="en-AU"/>
        </w:rPr>
        <w:t>when they are able to experience</w:t>
      </w:r>
      <w:r w:rsidR="000E31F7" w:rsidRPr="00E3754A">
        <w:rPr>
          <w:lang w:val="en-AU"/>
        </w:rPr>
        <w:t xml:space="preserve"> support with decision-making (</w:t>
      </w:r>
      <w:r w:rsidR="000A5D75" w:rsidRPr="00E3754A">
        <w:rPr>
          <w:lang w:val="en-AU"/>
        </w:rPr>
        <w:t>Carney, 2015a</w:t>
      </w:r>
      <w:r w:rsidR="000E31F7" w:rsidRPr="00E3754A">
        <w:rPr>
          <w:lang w:val="en-AU"/>
        </w:rPr>
        <w:t>).</w:t>
      </w:r>
    </w:p>
    <w:p w14:paraId="32817719" w14:textId="54C3A8D5" w:rsidR="000E31F7" w:rsidRPr="00E3754A" w:rsidRDefault="00EF2E20" w:rsidP="00CC4BF3">
      <w:pPr>
        <w:pStyle w:val="NoSpacing"/>
        <w:numPr>
          <w:ilvl w:val="0"/>
          <w:numId w:val="20"/>
        </w:numPr>
        <w:rPr>
          <w:lang w:val="en-AU"/>
        </w:rPr>
      </w:pPr>
      <w:r w:rsidRPr="00E3754A">
        <w:rPr>
          <w:rStyle w:val="SubtleEmphasis"/>
          <w:lang w:val="en-AU"/>
        </w:rPr>
        <w:t>Engagement</w:t>
      </w:r>
      <w:r w:rsidR="00080454" w:rsidRPr="00E3754A">
        <w:rPr>
          <w:lang w:val="en-AU"/>
        </w:rPr>
        <w:t>: E</w:t>
      </w:r>
      <w:r w:rsidR="000E31F7" w:rsidRPr="00E3754A">
        <w:rPr>
          <w:lang w:val="en-AU"/>
        </w:rPr>
        <w:t xml:space="preserve">ffective support involves the efficient </w:t>
      </w:r>
      <w:r w:rsidRPr="00E3754A">
        <w:rPr>
          <w:lang w:val="en-AU"/>
        </w:rPr>
        <w:t>engagement</w:t>
      </w:r>
      <w:r w:rsidR="000E31F7" w:rsidRPr="00E3754A">
        <w:rPr>
          <w:lang w:val="en-AU"/>
        </w:rPr>
        <w:t xml:space="preserve"> of the third parties around the supported </w:t>
      </w:r>
      <w:r w:rsidR="002C5EA2" w:rsidRPr="00E3754A">
        <w:rPr>
          <w:lang w:val="en-AU"/>
        </w:rPr>
        <w:t>person</w:t>
      </w:r>
      <w:r w:rsidRPr="00E3754A">
        <w:rPr>
          <w:lang w:val="en-AU"/>
        </w:rPr>
        <w:t xml:space="preserve"> (Douglas et al., </w:t>
      </w:r>
      <w:r w:rsidR="000E31F7" w:rsidRPr="00E3754A">
        <w:rPr>
          <w:lang w:val="en-AU"/>
        </w:rPr>
        <w:t xml:space="preserve">2015). </w:t>
      </w:r>
      <w:r w:rsidR="00080454" w:rsidRPr="00E3754A">
        <w:rPr>
          <w:lang w:val="en-AU"/>
        </w:rPr>
        <w:t>Collaboration</w:t>
      </w:r>
      <w:r w:rsidR="000E31F7" w:rsidRPr="00E3754A">
        <w:rPr>
          <w:lang w:val="en-AU"/>
        </w:rPr>
        <w:t xml:space="preserve"> between the </w:t>
      </w:r>
      <w:r w:rsidR="002C5EA2" w:rsidRPr="00E3754A">
        <w:rPr>
          <w:lang w:val="en-AU"/>
        </w:rPr>
        <w:t>disabled person</w:t>
      </w:r>
      <w:r w:rsidR="000E31F7" w:rsidRPr="00E3754A">
        <w:rPr>
          <w:lang w:val="en-AU"/>
        </w:rPr>
        <w:t xml:space="preserve"> and their supporters and between </w:t>
      </w:r>
      <w:r w:rsidR="00080454" w:rsidRPr="00E3754A">
        <w:rPr>
          <w:lang w:val="en-AU"/>
        </w:rPr>
        <w:t xml:space="preserve">the </w:t>
      </w:r>
      <w:r w:rsidR="000E31F7" w:rsidRPr="00E3754A">
        <w:rPr>
          <w:lang w:val="en-AU"/>
        </w:rPr>
        <w:t xml:space="preserve">supporters themselves </w:t>
      </w:r>
      <w:r w:rsidR="00080454" w:rsidRPr="00E3754A">
        <w:rPr>
          <w:lang w:val="en-AU"/>
        </w:rPr>
        <w:t xml:space="preserve">is also important </w:t>
      </w:r>
      <w:r w:rsidR="000E31F7" w:rsidRPr="00E3754A">
        <w:rPr>
          <w:lang w:val="en-AU"/>
        </w:rPr>
        <w:t xml:space="preserve">(Knox et al., 2016). Burgen (2016) provides evidence that this is not </w:t>
      </w:r>
      <w:r w:rsidR="00080454" w:rsidRPr="00E3754A">
        <w:rPr>
          <w:lang w:val="en-AU"/>
        </w:rPr>
        <w:t xml:space="preserve">always </w:t>
      </w:r>
      <w:r w:rsidR="000E31F7" w:rsidRPr="00E3754A">
        <w:rPr>
          <w:lang w:val="en-AU"/>
        </w:rPr>
        <w:t xml:space="preserve">easy in practice, </w:t>
      </w:r>
      <w:r w:rsidR="00080454" w:rsidRPr="00E3754A">
        <w:rPr>
          <w:lang w:val="en-AU"/>
        </w:rPr>
        <w:t xml:space="preserve">which is </w:t>
      </w:r>
      <w:r w:rsidR="000E31F7" w:rsidRPr="00E3754A">
        <w:rPr>
          <w:lang w:val="en-AU"/>
        </w:rPr>
        <w:t>discussed later.</w:t>
      </w:r>
    </w:p>
    <w:p w14:paraId="2BC2C623" w14:textId="661ED302" w:rsidR="000E31F7" w:rsidRPr="00E3754A" w:rsidRDefault="00080454" w:rsidP="00CC4BF3">
      <w:pPr>
        <w:pStyle w:val="NoSpacing"/>
        <w:numPr>
          <w:ilvl w:val="0"/>
          <w:numId w:val="20"/>
        </w:numPr>
        <w:rPr>
          <w:lang w:val="en-AU"/>
        </w:rPr>
      </w:pPr>
      <w:r w:rsidRPr="00E3754A">
        <w:rPr>
          <w:rStyle w:val="SubtleEmphasis"/>
          <w:lang w:val="en-AU"/>
        </w:rPr>
        <w:t>Commitment</w:t>
      </w:r>
      <w:r w:rsidRPr="00E3754A">
        <w:rPr>
          <w:lang w:val="en-AU"/>
        </w:rPr>
        <w:t>: T</w:t>
      </w:r>
      <w:r w:rsidR="000E31F7" w:rsidRPr="00E3754A">
        <w:rPr>
          <w:lang w:val="en-AU"/>
        </w:rPr>
        <w:t xml:space="preserve">he importance of the supporter(s) being committed to acquiring knowledge about the supported person, their disability, and the complexity of their will and preferences or decision-making processes and communication methods, even when it takes great </w:t>
      </w:r>
      <w:r w:rsidR="008053BD" w:rsidRPr="00E3754A">
        <w:rPr>
          <w:lang w:val="en-AU"/>
        </w:rPr>
        <w:t xml:space="preserve">effort has been </w:t>
      </w:r>
      <w:r w:rsidRPr="00E3754A">
        <w:rPr>
          <w:lang w:val="en-AU"/>
        </w:rPr>
        <w:t xml:space="preserve">recognised as being fundamental to supported decision-making </w:t>
      </w:r>
      <w:r w:rsidR="000E31F7" w:rsidRPr="00E3754A">
        <w:rPr>
          <w:lang w:val="en-AU"/>
        </w:rPr>
        <w:t xml:space="preserve">(Burgen, 2016; Douglas et al. 2015; Stavert, 2015; Tracy, 2015; also see IHC Advocacy Toolkit). Commitment to </w:t>
      </w:r>
      <w:r w:rsidR="00DD6B4C">
        <w:rPr>
          <w:lang w:val="en-AU"/>
        </w:rPr>
        <w:t xml:space="preserve">both </w:t>
      </w:r>
      <w:r w:rsidR="000E31F7" w:rsidRPr="00E3754A">
        <w:rPr>
          <w:lang w:val="en-AU"/>
        </w:rPr>
        <w:t xml:space="preserve">learning about the </w:t>
      </w:r>
      <w:r w:rsidR="002C5EA2" w:rsidRPr="00E3754A">
        <w:rPr>
          <w:lang w:val="en-AU"/>
        </w:rPr>
        <w:t>person</w:t>
      </w:r>
      <w:r w:rsidR="000E31F7" w:rsidRPr="00E3754A">
        <w:rPr>
          <w:lang w:val="en-AU"/>
        </w:rPr>
        <w:t xml:space="preserve"> and commitment </w:t>
      </w:r>
      <w:r w:rsidRPr="00E3754A">
        <w:rPr>
          <w:lang w:val="en-AU"/>
        </w:rPr>
        <w:t xml:space="preserve">to </w:t>
      </w:r>
      <w:r w:rsidR="000E31F7" w:rsidRPr="00E3754A">
        <w:rPr>
          <w:lang w:val="en-AU"/>
        </w:rPr>
        <w:t>building a personal relationship are recogni</w:t>
      </w:r>
      <w:r w:rsidR="00FF15A8" w:rsidRPr="00E3754A">
        <w:rPr>
          <w:lang w:val="en-AU"/>
        </w:rPr>
        <w:t>s</w:t>
      </w:r>
      <w:r w:rsidR="000E31F7" w:rsidRPr="00E3754A">
        <w:rPr>
          <w:lang w:val="en-AU"/>
        </w:rPr>
        <w:t xml:space="preserve">ed as </w:t>
      </w:r>
      <w:r w:rsidR="009E427B" w:rsidRPr="00E3754A">
        <w:rPr>
          <w:lang w:val="en-AU"/>
        </w:rPr>
        <w:t>being of particular</w:t>
      </w:r>
      <w:r w:rsidRPr="00E3754A">
        <w:rPr>
          <w:lang w:val="en-AU"/>
        </w:rPr>
        <w:t xml:space="preserve"> importance </w:t>
      </w:r>
      <w:r w:rsidR="000E31F7" w:rsidRPr="00E3754A">
        <w:rPr>
          <w:lang w:val="en-AU"/>
        </w:rPr>
        <w:t xml:space="preserve">(Devi, 2013). </w:t>
      </w:r>
      <w:r w:rsidRPr="00E3754A">
        <w:rPr>
          <w:lang w:val="en-AU"/>
        </w:rPr>
        <w:t>It has also been suggested that</w:t>
      </w:r>
      <w:r w:rsidR="0031393B" w:rsidRPr="00E3754A">
        <w:rPr>
          <w:lang w:val="en-AU"/>
        </w:rPr>
        <w:t xml:space="preserve"> persistence and commitment are</w:t>
      </w:r>
      <w:r w:rsidR="000E31F7" w:rsidRPr="00E3754A">
        <w:rPr>
          <w:lang w:val="en-AU"/>
        </w:rPr>
        <w:t xml:space="preserve"> significant to the process of realisi</w:t>
      </w:r>
      <w:r w:rsidR="009E427B" w:rsidRPr="00E3754A">
        <w:rPr>
          <w:lang w:val="en-AU"/>
        </w:rPr>
        <w:t>ng the will and preferences of</w:t>
      </w:r>
      <w:r w:rsidR="000E31F7" w:rsidRPr="00E3754A">
        <w:rPr>
          <w:lang w:val="en-AU"/>
        </w:rPr>
        <w:t xml:space="preserve"> </w:t>
      </w:r>
      <w:r w:rsidR="002C5EA2" w:rsidRPr="00E3754A">
        <w:rPr>
          <w:lang w:val="en-AU"/>
        </w:rPr>
        <w:t xml:space="preserve">disabled </w:t>
      </w:r>
      <w:r w:rsidR="009E427B" w:rsidRPr="00E3754A">
        <w:rPr>
          <w:lang w:val="en-AU"/>
        </w:rPr>
        <w:t>people</w:t>
      </w:r>
      <w:r w:rsidR="000E31F7" w:rsidRPr="00E3754A">
        <w:rPr>
          <w:lang w:val="en-AU"/>
        </w:rPr>
        <w:t xml:space="preserve"> given that there can be many external and </w:t>
      </w:r>
      <w:r w:rsidR="00DD6B4C">
        <w:rPr>
          <w:lang w:val="en-AU"/>
        </w:rPr>
        <w:t>systemic</w:t>
      </w:r>
      <w:r w:rsidR="00DD6B4C" w:rsidRPr="00E3754A">
        <w:rPr>
          <w:lang w:val="en-AU"/>
        </w:rPr>
        <w:t xml:space="preserve"> </w:t>
      </w:r>
      <w:r w:rsidR="000E31F7" w:rsidRPr="00E3754A">
        <w:rPr>
          <w:lang w:val="en-AU"/>
        </w:rPr>
        <w:t>challenges at play (Burgen, 2016).</w:t>
      </w:r>
    </w:p>
    <w:p w14:paraId="6A37EE33" w14:textId="14F49EA5" w:rsidR="000E31F7" w:rsidRPr="00E3754A" w:rsidRDefault="00080454" w:rsidP="00CC4BF3">
      <w:pPr>
        <w:pStyle w:val="NoSpacing"/>
        <w:numPr>
          <w:ilvl w:val="0"/>
          <w:numId w:val="20"/>
        </w:numPr>
        <w:rPr>
          <w:lang w:val="en-AU"/>
        </w:rPr>
      </w:pPr>
      <w:r w:rsidRPr="00E3754A">
        <w:rPr>
          <w:rStyle w:val="SubtleEmphasis"/>
          <w:lang w:val="en-AU"/>
        </w:rPr>
        <w:t>Support principles</w:t>
      </w:r>
      <w:r w:rsidRPr="00E3754A">
        <w:rPr>
          <w:lang w:val="en-AU"/>
        </w:rPr>
        <w:t>: T</w:t>
      </w:r>
      <w:r w:rsidR="000E31F7" w:rsidRPr="00E3754A">
        <w:rPr>
          <w:lang w:val="en-AU"/>
        </w:rPr>
        <w:t xml:space="preserve">he fundamental </w:t>
      </w:r>
      <w:r w:rsidR="005F2771" w:rsidRPr="00E3754A">
        <w:rPr>
          <w:lang w:val="en-AU"/>
        </w:rPr>
        <w:t>elements</w:t>
      </w:r>
      <w:r w:rsidR="000E31F7" w:rsidRPr="00E3754A">
        <w:rPr>
          <w:lang w:val="en-AU"/>
        </w:rPr>
        <w:t xml:space="preserve"> of individual and general practice in the process of </w:t>
      </w:r>
      <w:r w:rsidR="00957541" w:rsidRPr="00E3754A">
        <w:rPr>
          <w:lang w:val="en-AU"/>
        </w:rPr>
        <w:t>assisting decision-maki</w:t>
      </w:r>
      <w:r w:rsidR="001A7241" w:rsidRPr="00E3754A">
        <w:rPr>
          <w:lang w:val="en-AU"/>
        </w:rPr>
        <w:t>n</w:t>
      </w:r>
      <w:r w:rsidR="00957541" w:rsidRPr="00E3754A">
        <w:rPr>
          <w:lang w:val="en-AU"/>
        </w:rPr>
        <w:t>g,</w:t>
      </w:r>
      <w:r w:rsidR="000E31F7" w:rsidRPr="00E3754A">
        <w:rPr>
          <w:lang w:val="en-AU"/>
        </w:rPr>
        <w:t xml:space="preserve"> </w:t>
      </w:r>
      <w:r w:rsidR="001A7241" w:rsidRPr="00E3754A">
        <w:rPr>
          <w:lang w:val="en-AU"/>
        </w:rPr>
        <w:t xml:space="preserve">that is, </w:t>
      </w:r>
      <w:r w:rsidR="005F2771" w:rsidRPr="00E3754A">
        <w:rPr>
          <w:lang w:val="en-AU"/>
        </w:rPr>
        <w:t>what</w:t>
      </w:r>
      <w:r w:rsidR="000E31F7" w:rsidRPr="00E3754A">
        <w:rPr>
          <w:lang w:val="en-AU"/>
        </w:rPr>
        <w:t xml:space="preserve"> makes </w:t>
      </w:r>
      <w:r w:rsidR="00957541" w:rsidRPr="00E3754A">
        <w:rPr>
          <w:lang w:val="en-AU"/>
        </w:rPr>
        <w:t>assi</w:t>
      </w:r>
      <w:r w:rsidR="001A7241" w:rsidRPr="00E3754A">
        <w:rPr>
          <w:lang w:val="en-AU"/>
        </w:rPr>
        <w:t>s</w:t>
      </w:r>
      <w:r w:rsidR="00957541" w:rsidRPr="00E3754A">
        <w:rPr>
          <w:lang w:val="en-AU"/>
        </w:rPr>
        <w:t>tance</w:t>
      </w:r>
      <w:r w:rsidR="000E31F7" w:rsidRPr="00E3754A">
        <w:rPr>
          <w:lang w:val="en-AU"/>
        </w:rPr>
        <w:t xml:space="preserve"> ‘good</w:t>
      </w:r>
      <w:r w:rsidR="001A7241" w:rsidRPr="00E3754A">
        <w:rPr>
          <w:lang w:val="en-AU"/>
        </w:rPr>
        <w:t>’,</w:t>
      </w:r>
      <w:r w:rsidR="000E31F7" w:rsidRPr="00E3754A">
        <w:rPr>
          <w:lang w:val="en-AU"/>
        </w:rPr>
        <w:t xml:space="preserve"> </w:t>
      </w:r>
      <w:r w:rsidR="005F2771" w:rsidRPr="00E3754A">
        <w:rPr>
          <w:lang w:val="en-AU"/>
        </w:rPr>
        <w:t xml:space="preserve">have been referred to as </w:t>
      </w:r>
      <w:r w:rsidR="00957541" w:rsidRPr="00E3754A">
        <w:rPr>
          <w:lang w:val="en-AU"/>
        </w:rPr>
        <w:t>‘</w:t>
      </w:r>
      <w:r w:rsidR="005F2771" w:rsidRPr="00E3754A">
        <w:rPr>
          <w:lang w:val="en-AU"/>
        </w:rPr>
        <w:t>support principles</w:t>
      </w:r>
      <w:r w:rsidR="00957541" w:rsidRPr="00E3754A">
        <w:rPr>
          <w:lang w:val="en-AU"/>
        </w:rPr>
        <w:t>’</w:t>
      </w:r>
      <w:r w:rsidR="005F2771" w:rsidRPr="00E3754A">
        <w:rPr>
          <w:lang w:val="en-AU"/>
        </w:rPr>
        <w:t xml:space="preserve"> </w:t>
      </w:r>
      <w:r w:rsidR="000E31F7" w:rsidRPr="00E3754A">
        <w:rPr>
          <w:lang w:val="en-AU"/>
        </w:rPr>
        <w:t>(Douglas et al. 2015). For example,</w:t>
      </w:r>
      <w:r w:rsidR="009071C8" w:rsidRPr="00E3754A">
        <w:rPr>
          <w:lang w:val="en-AU"/>
        </w:rPr>
        <w:t xml:space="preserve"> it is proposed that</w:t>
      </w:r>
      <w:r w:rsidR="000E31F7" w:rsidRPr="00E3754A">
        <w:rPr>
          <w:lang w:val="en-AU"/>
        </w:rPr>
        <w:t xml:space="preserve"> self-awareness is important</w:t>
      </w:r>
      <w:r w:rsidR="001A7241" w:rsidRPr="00E3754A">
        <w:rPr>
          <w:lang w:val="en-AU"/>
        </w:rPr>
        <w:t>;</w:t>
      </w:r>
      <w:r w:rsidR="000E31F7" w:rsidRPr="00E3754A">
        <w:rPr>
          <w:lang w:val="en-AU"/>
        </w:rPr>
        <w:t xml:space="preserve"> </w:t>
      </w:r>
      <w:r w:rsidR="001A7241" w:rsidRPr="00E3754A">
        <w:rPr>
          <w:lang w:val="en-AU"/>
        </w:rPr>
        <w:t>s</w:t>
      </w:r>
      <w:r w:rsidR="000E31F7" w:rsidRPr="00E3754A">
        <w:rPr>
          <w:lang w:val="en-AU"/>
        </w:rPr>
        <w:t xml:space="preserve">upporters </w:t>
      </w:r>
      <w:r w:rsidR="001A7241" w:rsidRPr="00E3754A">
        <w:rPr>
          <w:lang w:val="en-AU"/>
        </w:rPr>
        <w:t>must</w:t>
      </w:r>
      <w:r w:rsidR="009071C8" w:rsidRPr="00E3754A">
        <w:rPr>
          <w:lang w:val="en-AU"/>
        </w:rPr>
        <w:t xml:space="preserve"> </w:t>
      </w:r>
      <w:r w:rsidR="00450309" w:rsidRPr="00E3754A">
        <w:rPr>
          <w:lang w:val="en-AU"/>
        </w:rPr>
        <w:t xml:space="preserve">be </w:t>
      </w:r>
      <w:r w:rsidR="000E31F7" w:rsidRPr="00E3754A">
        <w:rPr>
          <w:lang w:val="en-AU"/>
        </w:rPr>
        <w:t xml:space="preserve">aware of values and biases they may bring to the process (Arstein-Kerslake, 2016; Douglas et al. 2015; Stainton, 2015; Tracy, 2015; Werner, 2012) </w:t>
      </w:r>
      <w:r w:rsidR="001A7241" w:rsidRPr="00E3754A">
        <w:rPr>
          <w:lang w:val="en-AU"/>
        </w:rPr>
        <w:t>in order that they are able</w:t>
      </w:r>
      <w:r w:rsidR="005F2771" w:rsidRPr="00E3754A">
        <w:rPr>
          <w:lang w:val="en-AU"/>
        </w:rPr>
        <w:t xml:space="preserve"> to be</w:t>
      </w:r>
      <w:r w:rsidR="000E31F7" w:rsidRPr="00E3754A">
        <w:rPr>
          <w:lang w:val="en-AU"/>
        </w:rPr>
        <w:t xml:space="preserve"> responsive to and focused on the autonomy, identity, and will and preferences of the supported </w:t>
      </w:r>
      <w:r w:rsidR="002C5EA2" w:rsidRPr="00E3754A">
        <w:rPr>
          <w:lang w:val="en-AU"/>
        </w:rPr>
        <w:t>person</w:t>
      </w:r>
      <w:r w:rsidR="000E31F7" w:rsidRPr="00E3754A">
        <w:rPr>
          <w:lang w:val="en-AU"/>
        </w:rPr>
        <w:t xml:space="preserve"> (Arstein-Kerslake, 2016; Douglas et al. 2015; Knox et al., 2016; Tracy, 2015; Watson, 2016</w:t>
      </w:r>
      <w:r w:rsidR="002C5EA2" w:rsidRPr="00E3754A">
        <w:rPr>
          <w:lang w:val="en-AU"/>
        </w:rPr>
        <w:t>a</w:t>
      </w:r>
      <w:r w:rsidR="000E31F7" w:rsidRPr="00E3754A">
        <w:rPr>
          <w:lang w:val="en-AU"/>
        </w:rPr>
        <w:t xml:space="preserve">; Woudzia, 2016). The </w:t>
      </w:r>
      <w:r w:rsidR="009071C8" w:rsidRPr="00E3754A">
        <w:rPr>
          <w:lang w:val="en-AU"/>
        </w:rPr>
        <w:t xml:space="preserve">latter </w:t>
      </w:r>
      <w:r w:rsidR="000E31F7" w:rsidRPr="00E3754A">
        <w:rPr>
          <w:lang w:val="en-AU"/>
        </w:rPr>
        <w:t>involves being centred on the person, respecting their choices, recognising their rights to make decisions, and recognising that t</w:t>
      </w:r>
      <w:r w:rsidR="005F2771" w:rsidRPr="00E3754A">
        <w:rPr>
          <w:lang w:val="en-AU"/>
        </w:rPr>
        <w:t>heir ability to participate in</w:t>
      </w:r>
      <w:r w:rsidR="000E31F7" w:rsidRPr="00E3754A">
        <w:rPr>
          <w:lang w:val="en-AU"/>
        </w:rPr>
        <w:t xml:space="preserve"> </w:t>
      </w:r>
      <w:r w:rsidR="001A7241" w:rsidRPr="00E3754A">
        <w:rPr>
          <w:lang w:val="en-AU"/>
        </w:rPr>
        <w:t xml:space="preserve">specific </w:t>
      </w:r>
      <w:r w:rsidR="000E31F7" w:rsidRPr="00E3754A">
        <w:rPr>
          <w:lang w:val="en-AU"/>
        </w:rPr>
        <w:t>decision</w:t>
      </w:r>
      <w:r w:rsidR="005F2771" w:rsidRPr="00E3754A">
        <w:rPr>
          <w:lang w:val="en-AU"/>
        </w:rPr>
        <w:t>s</w:t>
      </w:r>
      <w:r w:rsidR="000E31F7" w:rsidRPr="00E3754A">
        <w:rPr>
          <w:lang w:val="en-AU"/>
        </w:rPr>
        <w:t xml:space="preserve"> </w:t>
      </w:r>
      <w:r w:rsidR="005F2771" w:rsidRPr="00E3754A">
        <w:rPr>
          <w:lang w:val="en-AU"/>
        </w:rPr>
        <w:t>may</w:t>
      </w:r>
      <w:r w:rsidR="000E31F7" w:rsidRPr="00E3754A">
        <w:rPr>
          <w:lang w:val="en-AU"/>
        </w:rPr>
        <w:t xml:space="preserve"> vary (Tracy, 2015).</w:t>
      </w:r>
    </w:p>
    <w:p w14:paraId="7EBA1149" w14:textId="529C956A" w:rsidR="000E31F7" w:rsidRPr="00E3754A" w:rsidRDefault="009E427B" w:rsidP="00CC4BF3">
      <w:pPr>
        <w:pStyle w:val="NoSpacing"/>
        <w:numPr>
          <w:ilvl w:val="0"/>
          <w:numId w:val="20"/>
        </w:numPr>
        <w:rPr>
          <w:lang w:val="en-AU"/>
        </w:rPr>
      </w:pPr>
      <w:r w:rsidRPr="00E3754A">
        <w:rPr>
          <w:rStyle w:val="SubtleEmphasis"/>
          <w:lang w:val="en-AU"/>
        </w:rPr>
        <w:t>Strategy and</w:t>
      </w:r>
      <w:r w:rsidR="00FB3C8F" w:rsidRPr="00E3754A">
        <w:rPr>
          <w:rStyle w:val="SubtleEmphasis"/>
          <w:lang w:val="en-AU"/>
        </w:rPr>
        <w:t xml:space="preserve"> Communication</w:t>
      </w:r>
      <w:r w:rsidR="00FB3C8F" w:rsidRPr="00E3754A">
        <w:rPr>
          <w:lang w:val="en-AU"/>
        </w:rPr>
        <w:t>: Su</w:t>
      </w:r>
      <w:r w:rsidR="000E31F7" w:rsidRPr="00E3754A">
        <w:rPr>
          <w:lang w:val="en-AU"/>
        </w:rPr>
        <w:t xml:space="preserve">pporters </w:t>
      </w:r>
      <w:r w:rsidR="00FB3C8F" w:rsidRPr="00E3754A">
        <w:rPr>
          <w:lang w:val="en-AU"/>
        </w:rPr>
        <w:t>have been identified as needing</w:t>
      </w:r>
      <w:r w:rsidR="000E31F7" w:rsidRPr="00E3754A">
        <w:rPr>
          <w:lang w:val="en-AU"/>
        </w:rPr>
        <w:t xml:space="preserve"> a range of strategies on-hand that are appropriate to the needs of the </w:t>
      </w:r>
      <w:r w:rsidR="002C5EA2" w:rsidRPr="00E3754A">
        <w:rPr>
          <w:lang w:val="en-AU"/>
        </w:rPr>
        <w:t>disabled person</w:t>
      </w:r>
      <w:r w:rsidR="000E31F7" w:rsidRPr="00E3754A">
        <w:rPr>
          <w:lang w:val="en-AU"/>
        </w:rPr>
        <w:t xml:space="preserve"> </w:t>
      </w:r>
      <w:r w:rsidR="00FB3C8F" w:rsidRPr="00E3754A">
        <w:rPr>
          <w:lang w:val="en-AU"/>
        </w:rPr>
        <w:t>in order to</w:t>
      </w:r>
      <w:r w:rsidR="000E31F7" w:rsidRPr="00E3754A">
        <w:rPr>
          <w:lang w:val="en-AU"/>
        </w:rPr>
        <w:t xml:space="preserve"> adapt to differ</w:t>
      </w:r>
      <w:r w:rsidR="0031393B" w:rsidRPr="00E3754A">
        <w:rPr>
          <w:lang w:val="en-AU"/>
        </w:rPr>
        <w:t>ent circumstances and personalis</w:t>
      </w:r>
      <w:r w:rsidR="000E31F7" w:rsidRPr="00E3754A">
        <w:rPr>
          <w:lang w:val="en-AU"/>
        </w:rPr>
        <w:t>e their support quickly and effectively (Douglas et al. 2015; Knox et al., 2016; IHC</w:t>
      </w:r>
      <w:r w:rsidR="00654EAC" w:rsidRPr="00E3754A">
        <w:rPr>
          <w:lang w:val="en-AU"/>
        </w:rPr>
        <w:t>, 2016</w:t>
      </w:r>
      <w:r w:rsidR="000E31F7" w:rsidRPr="00E3754A">
        <w:rPr>
          <w:lang w:val="en-AU"/>
        </w:rPr>
        <w:t xml:space="preserve">). </w:t>
      </w:r>
      <w:r w:rsidR="00FB3C8F" w:rsidRPr="00E3754A">
        <w:rPr>
          <w:lang w:val="en-AU"/>
        </w:rPr>
        <w:t>It is acknowledged that</w:t>
      </w:r>
      <w:r w:rsidR="000E31F7" w:rsidRPr="00E3754A">
        <w:rPr>
          <w:lang w:val="en-AU"/>
        </w:rPr>
        <w:t>, ‘good’ support involves supporters listening well to various communication strateg</w:t>
      </w:r>
      <w:r w:rsidRPr="00E3754A">
        <w:rPr>
          <w:lang w:val="en-AU"/>
        </w:rPr>
        <w:t>ies (</w:t>
      </w:r>
      <w:r w:rsidR="00E96125" w:rsidRPr="00E3754A">
        <w:rPr>
          <w:lang w:val="en-AU"/>
        </w:rPr>
        <w:t xml:space="preserve">Arstein-Kerslake, 2014; </w:t>
      </w:r>
      <w:r w:rsidR="00C60DDF" w:rsidRPr="00E3754A">
        <w:rPr>
          <w:lang w:val="en-AU"/>
        </w:rPr>
        <w:t>Carney &amp; Beaupert, 2013</w:t>
      </w:r>
      <w:r w:rsidRPr="00E3754A">
        <w:rPr>
          <w:lang w:val="en-AU"/>
        </w:rPr>
        <w:t>; Tracy, 2015</w:t>
      </w:r>
      <w:r w:rsidR="009071C8" w:rsidRPr="00E3754A">
        <w:rPr>
          <w:lang w:val="en-AU"/>
        </w:rPr>
        <w:t>; also see Watson, 2016a</w:t>
      </w:r>
      <w:r w:rsidRPr="00E3754A">
        <w:rPr>
          <w:lang w:val="en-AU"/>
        </w:rPr>
        <w:t>) and</w:t>
      </w:r>
      <w:r w:rsidR="000E31F7" w:rsidRPr="00E3754A">
        <w:rPr>
          <w:lang w:val="en-AU"/>
        </w:rPr>
        <w:t xml:space="preserve"> involves employing strategies to effectively communicate information and issues relevant to </w:t>
      </w:r>
      <w:r w:rsidR="001B6E02" w:rsidRPr="00E3754A">
        <w:rPr>
          <w:lang w:val="en-AU"/>
        </w:rPr>
        <w:t xml:space="preserve">the </w:t>
      </w:r>
      <w:r w:rsidR="000E31F7" w:rsidRPr="00E3754A">
        <w:rPr>
          <w:lang w:val="en-AU"/>
        </w:rPr>
        <w:t>decision-making to the person</w:t>
      </w:r>
      <w:r w:rsidR="001B6E02" w:rsidRPr="00E3754A">
        <w:rPr>
          <w:lang w:val="en-AU"/>
        </w:rPr>
        <w:t xml:space="preserve"> involved</w:t>
      </w:r>
      <w:r w:rsidR="000E31F7" w:rsidRPr="00E3754A">
        <w:rPr>
          <w:lang w:val="en-AU"/>
        </w:rPr>
        <w:t xml:space="preserve"> (</w:t>
      </w:r>
      <w:r w:rsidR="00C60DDF" w:rsidRPr="00E3754A">
        <w:rPr>
          <w:lang w:val="en-AU"/>
        </w:rPr>
        <w:t>Carney &amp; Beaupert, 2013</w:t>
      </w:r>
      <w:r w:rsidR="000E31F7" w:rsidRPr="00E3754A">
        <w:rPr>
          <w:lang w:val="en-AU"/>
        </w:rPr>
        <w:t>).</w:t>
      </w:r>
    </w:p>
    <w:p w14:paraId="433619E7" w14:textId="7B21A643" w:rsidR="000E31F7" w:rsidRPr="00E3754A" w:rsidRDefault="008A2920" w:rsidP="00CC4BF3">
      <w:pPr>
        <w:pStyle w:val="NoSpacing"/>
        <w:numPr>
          <w:ilvl w:val="0"/>
          <w:numId w:val="20"/>
        </w:numPr>
        <w:rPr>
          <w:lang w:val="en-AU"/>
        </w:rPr>
      </w:pPr>
      <w:r w:rsidRPr="00E3754A">
        <w:rPr>
          <w:rStyle w:val="SubtleEmphasis"/>
          <w:lang w:val="en-AU"/>
        </w:rPr>
        <w:t>Consent</w:t>
      </w:r>
      <w:r w:rsidRPr="00E3754A">
        <w:rPr>
          <w:lang w:val="en-AU"/>
        </w:rPr>
        <w:t>: C</w:t>
      </w:r>
      <w:r w:rsidR="000E31F7" w:rsidRPr="00E3754A">
        <w:rPr>
          <w:lang w:val="en-AU"/>
        </w:rPr>
        <w:t xml:space="preserve">onsent is </w:t>
      </w:r>
      <w:r w:rsidRPr="00E3754A">
        <w:rPr>
          <w:lang w:val="en-AU"/>
        </w:rPr>
        <w:t xml:space="preserve">recognised as being </w:t>
      </w:r>
      <w:r w:rsidR="000E31F7" w:rsidRPr="00E3754A">
        <w:rPr>
          <w:lang w:val="en-AU"/>
        </w:rPr>
        <w:t xml:space="preserve">important </w:t>
      </w:r>
      <w:r w:rsidRPr="00E3754A">
        <w:rPr>
          <w:lang w:val="en-AU"/>
        </w:rPr>
        <w:t>to</w:t>
      </w:r>
      <w:r w:rsidR="000E31F7" w:rsidRPr="00E3754A">
        <w:rPr>
          <w:lang w:val="en-AU"/>
        </w:rPr>
        <w:t xml:space="preserve"> </w:t>
      </w:r>
      <w:r w:rsidR="004905DC" w:rsidRPr="00E3754A">
        <w:rPr>
          <w:lang w:val="en-AU"/>
        </w:rPr>
        <w:t xml:space="preserve">support and </w:t>
      </w:r>
      <w:r w:rsidR="000E31F7" w:rsidRPr="00E3754A">
        <w:rPr>
          <w:lang w:val="en-AU"/>
        </w:rPr>
        <w:t xml:space="preserve">realising the will and preferences </w:t>
      </w:r>
      <w:r w:rsidRPr="00E3754A">
        <w:rPr>
          <w:lang w:val="en-AU"/>
        </w:rPr>
        <w:t xml:space="preserve">of disabled people </w:t>
      </w:r>
      <w:r w:rsidR="000E31F7" w:rsidRPr="00E3754A">
        <w:rPr>
          <w:lang w:val="en-AU"/>
        </w:rPr>
        <w:t>(Flynn &amp; Arstein-Kerslake, 2014; Morrissey, 2012</w:t>
      </w:r>
      <w:r w:rsidR="004905DC" w:rsidRPr="00E3754A">
        <w:rPr>
          <w:lang w:val="en-AU"/>
        </w:rPr>
        <w:t>; Nilsson, 2012</w:t>
      </w:r>
      <w:r w:rsidR="000E31F7" w:rsidRPr="00E3754A">
        <w:rPr>
          <w:lang w:val="en-AU"/>
        </w:rPr>
        <w:t>). Some people do not want support and support mechanisms</w:t>
      </w:r>
      <w:r w:rsidR="009071C8" w:rsidRPr="00E3754A">
        <w:rPr>
          <w:lang w:val="en-AU"/>
        </w:rPr>
        <w:t xml:space="preserve"> because,</w:t>
      </w:r>
      <w:r w:rsidR="00ED2936" w:rsidRPr="00E3754A">
        <w:rPr>
          <w:lang w:val="en-AU"/>
        </w:rPr>
        <w:t xml:space="preserve"> </w:t>
      </w:r>
      <w:r w:rsidR="00086205" w:rsidRPr="00E3754A">
        <w:rPr>
          <w:lang w:val="en-AU"/>
        </w:rPr>
        <w:t xml:space="preserve">even </w:t>
      </w:r>
      <w:r w:rsidR="00ED2936" w:rsidRPr="00E3754A">
        <w:rPr>
          <w:lang w:val="en-AU"/>
        </w:rPr>
        <w:t>when well-intentioned,</w:t>
      </w:r>
      <w:r w:rsidR="000E31F7" w:rsidRPr="00E3754A">
        <w:rPr>
          <w:lang w:val="en-AU"/>
        </w:rPr>
        <w:t xml:space="preserve"> </w:t>
      </w:r>
      <w:r w:rsidR="00901200" w:rsidRPr="00E3754A">
        <w:rPr>
          <w:lang w:val="en-AU"/>
        </w:rPr>
        <w:t xml:space="preserve">they </w:t>
      </w:r>
      <w:r w:rsidR="000E31F7" w:rsidRPr="00E3754A">
        <w:rPr>
          <w:lang w:val="en-AU"/>
        </w:rPr>
        <w:t xml:space="preserve">can conflict with a </w:t>
      </w:r>
      <w:r w:rsidR="002C5EA2" w:rsidRPr="00E3754A">
        <w:rPr>
          <w:lang w:val="en-AU"/>
        </w:rPr>
        <w:t>disabled person</w:t>
      </w:r>
      <w:r w:rsidR="000E31F7" w:rsidRPr="00E3754A">
        <w:rPr>
          <w:lang w:val="en-AU"/>
        </w:rPr>
        <w:t>’s will a</w:t>
      </w:r>
      <w:r w:rsidR="00086205" w:rsidRPr="00E3754A">
        <w:rPr>
          <w:lang w:val="en-AU"/>
        </w:rPr>
        <w:t>nd preference (</w:t>
      </w:r>
      <w:r w:rsidR="00C60DDF" w:rsidRPr="00E3754A">
        <w:rPr>
          <w:lang w:val="en-AU"/>
        </w:rPr>
        <w:t>Carney &amp; Beaupert, 2013</w:t>
      </w:r>
      <w:r w:rsidR="00D828C6" w:rsidRPr="00E3754A">
        <w:rPr>
          <w:lang w:val="en-AU"/>
        </w:rPr>
        <w:t>; Carney 2014b</w:t>
      </w:r>
      <w:r w:rsidR="00086205" w:rsidRPr="00E3754A">
        <w:rPr>
          <w:lang w:val="en-AU"/>
        </w:rPr>
        <w:t>)</w:t>
      </w:r>
      <w:r w:rsidR="009804E9" w:rsidRPr="00E3754A">
        <w:rPr>
          <w:lang w:val="en-AU"/>
        </w:rPr>
        <w:t xml:space="preserve">. </w:t>
      </w:r>
    </w:p>
    <w:p w14:paraId="0D8C7A7A" w14:textId="441FD35D" w:rsidR="000E31F7" w:rsidRPr="00E3754A" w:rsidRDefault="000E31F7" w:rsidP="000E31F7">
      <w:pPr>
        <w:pStyle w:val="NoSpacing"/>
        <w:rPr>
          <w:lang w:val="en-AU"/>
        </w:rPr>
      </w:pPr>
      <w:r w:rsidRPr="00E3754A">
        <w:rPr>
          <w:lang w:val="en-AU"/>
        </w:rPr>
        <w:t>Specifically</w:t>
      </w:r>
      <w:r w:rsidR="001B6E02" w:rsidRPr="00E3754A">
        <w:rPr>
          <w:lang w:val="en-AU"/>
        </w:rPr>
        <w:t>,</w:t>
      </w:r>
      <w:r w:rsidRPr="00E3754A">
        <w:rPr>
          <w:lang w:val="en-AU"/>
        </w:rPr>
        <w:t xml:space="preserve"> in providing direct support </w:t>
      </w:r>
      <w:r w:rsidR="00953555" w:rsidRPr="00E3754A">
        <w:rPr>
          <w:lang w:val="en-AU"/>
        </w:rPr>
        <w:t>to</w:t>
      </w:r>
      <w:r w:rsidRPr="00E3754A">
        <w:rPr>
          <w:lang w:val="en-AU"/>
        </w:rPr>
        <w:t xml:space="preserve"> exercis</w:t>
      </w:r>
      <w:r w:rsidR="00953555" w:rsidRPr="00E3754A">
        <w:rPr>
          <w:lang w:val="en-AU"/>
        </w:rPr>
        <w:t>e</w:t>
      </w:r>
      <w:r w:rsidRPr="00E3754A">
        <w:rPr>
          <w:lang w:val="en-AU"/>
        </w:rPr>
        <w:t xml:space="preserve"> legal capacity, notable scholars Flynn &amp; Arstein-Kerslake (2014) propose that supported decision-making should:</w:t>
      </w:r>
    </w:p>
    <w:p w14:paraId="61435FB4" w14:textId="657EA625" w:rsidR="000E31F7" w:rsidRPr="00E3754A" w:rsidRDefault="000E31F7" w:rsidP="00CC4BF3">
      <w:pPr>
        <w:pStyle w:val="NoSpacing"/>
        <w:numPr>
          <w:ilvl w:val="0"/>
          <w:numId w:val="21"/>
        </w:numPr>
        <w:rPr>
          <w:lang w:val="en-AU"/>
        </w:rPr>
      </w:pPr>
      <w:r w:rsidRPr="00E3754A">
        <w:rPr>
          <w:lang w:val="en-AU"/>
        </w:rPr>
        <w:t>Work on the strengths of the individual.</w:t>
      </w:r>
    </w:p>
    <w:p w14:paraId="70BB5DDF" w14:textId="1473B4F4" w:rsidR="000E31F7" w:rsidRPr="00E3754A" w:rsidRDefault="000E31F7" w:rsidP="00CC4BF3">
      <w:pPr>
        <w:pStyle w:val="NoSpacing"/>
        <w:numPr>
          <w:ilvl w:val="0"/>
          <w:numId w:val="21"/>
        </w:numPr>
        <w:rPr>
          <w:lang w:val="en-AU"/>
        </w:rPr>
      </w:pPr>
      <w:r w:rsidRPr="00E3754A">
        <w:rPr>
          <w:lang w:val="en-AU"/>
        </w:rPr>
        <w:t xml:space="preserve">Approach </w:t>
      </w:r>
      <w:r w:rsidR="00ED2936" w:rsidRPr="00E3754A">
        <w:rPr>
          <w:lang w:val="en-AU"/>
        </w:rPr>
        <w:t>the supported person with an</w:t>
      </w:r>
      <w:r w:rsidRPr="00E3754A">
        <w:rPr>
          <w:lang w:val="en-AU"/>
        </w:rPr>
        <w:t xml:space="preserve"> attitude of </w:t>
      </w:r>
      <w:r w:rsidR="00946E26" w:rsidRPr="00E3754A">
        <w:rPr>
          <w:lang w:val="en-AU"/>
        </w:rPr>
        <w:t>identifying</w:t>
      </w:r>
      <w:r w:rsidRPr="00E3754A">
        <w:rPr>
          <w:lang w:val="en-AU"/>
        </w:rPr>
        <w:t xml:space="preserve"> what supports are necessary to enable a person to exercise capacity rather than approaching </w:t>
      </w:r>
      <w:r w:rsidR="00ED2936" w:rsidRPr="00E3754A">
        <w:rPr>
          <w:lang w:val="en-AU"/>
        </w:rPr>
        <w:t>them</w:t>
      </w:r>
      <w:r w:rsidRPr="00E3754A">
        <w:rPr>
          <w:lang w:val="en-AU"/>
        </w:rPr>
        <w:t xml:space="preserve"> to </w:t>
      </w:r>
      <w:r w:rsidR="00946E26" w:rsidRPr="00E3754A">
        <w:rPr>
          <w:lang w:val="en-AU"/>
        </w:rPr>
        <w:t xml:space="preserve">assess </w:t>
      </w:r>
      <w:r w:rsidRPr="00E3754A">
        <w:rPr>
          <w:lang w:val="en-AU"/>
        </w:rPr>
        <w:t xml:space="preserve">whether they </w:t>
      </w:r>
      <w:r w:rsidRPr="00E3754A">
        <w:rPr>
          <w:i/>
          <w:lang w:val="en-AU"/>
        </w:rPr>
        <w:t>have</w:t>
      </w:r>
      <w:r w:rsidRPr="00E3754A">
        <w:rPr>
          <w:lang w:val="en-AU"/>
        </w:rPr>
        <w:t xml:space="preserve"> legal capacity.</w:t>
      </w:r>
    </w:p>
    <w:p w14:paraId="5F0D19EA" w14:textId="13FC658A" w:rsidR="000E31F7" w:rsidRPr="00E3754A" w:rsidRDefault="000E31F7" w:rsidP="000E31F7">
      <w:pPr>
        <w:pStyle w:val="NoSpacing"/>
        <w:rPr>
          <w:lang w:val="en-AU"/>
        </w:rPr>
      </w:pPr>
      <w:r w:rsidRPr="00E3754A">
        <w:rPr>
          <w:lang w:val="en-AU"/>
        </w:rPr>
        <w:t xml:space="preserve">The literature also </w:t>
      </w:r>
      <w:r w:rsidR="00946E26" w:rsidRPr="00E3754A">
        <w:rPr>
          <w:lang w:val="en-AU"/>
        </w:rPr>
        <w:t>points to the ways in which both</w:t>
      </w:r>
      <w:r w:rsidRPr="00E3754A">
        <w:rPr>
          <w:lang w:val="en-AU"/>
        </w:rPr>
        <w:t xml:space="preserve"> support persons (</w:t>
      </w:r>
      <w:r w:rsidR="00946E26" w:rsidRPr="00E3754A">
        <w:rPr>
          <w:lang w:val="en-AU"/>
        </w:rPr>
        <w:t>both</w:t>
      </w:r>
      <w:r w:rsidRPr="00E3754A">
        <w:rPr>
          <w:lang w:val="en-AU"/>
        </w:rPr>
        <w:t xml:space="preserve"> professionals and family</w:t>
      </w:r>
      <w:r w:rsidR="001B6E02" w:rsidRPr="00E3754A">
        <w:rPr>
          <w:lang w:val="en-AU"/>
        </w:rPr>
        <w:t xml:space="preserve"> and friends</w:t>
      </w:r>
      <w:r w:rsidRPr="00E3754A">
        <w:rPr>
          <w:lang w:val="en-AU"/>
        </w:rPr>
        <w:t xml:space="preserve">) </w:t>
      </w:r>
      <w:r w:rsidR="00946E26" w:rsidRPr="00E3754A">
        <w:rPr>
          <w:lang w:val="en-AU"/>
        </w:rPr>
        <w:t>can assist</w:t>
      </w:r>
      <w:r w:rsidRPr="00E3754A">
        <w:rPr>
          <w:lang w:val="en-AU"/>
        </w:rPr>
        <w:t xml:space="preserve"> a person </w:t>
      </w:r>
      <w:r w:rsidR="00946E26" w:rsidRPr="00E3754A">
        <w:rPr>
          <w:lang w:val="en-AU"/>
        </w:rPr>
        <w:t>to execute their legal agency. Key elements include</w:t>
      </w:r>
      <w:r w:rsidRPr="00E3754A">
        <w:rPr>
          <w:lang w:val="en-AU"/>
        </w:rPr>
        <w:t xml:space="preserve">: </w:t>
      </w:r>
    </w:p>
    <w:p w14:paraId="14A8010C" w14:textId="54F45DB6" w:rsidR="000E31F7" w:rsidRPr="00E3754A" w:rsidRDefault="000E31F7" w:rsidP="00CC4BF3">
      <w:pPr>
        <w:pStyle w:val="NoSpacing"/>
        <w:numPr>
          <w:ilvl w:val="0"/>
          <w:numId w:val="22"/>
        </w:numPr>
        <w:rPr>
          <w:lang w:val="en-AU"/>
        </w:rPr>
      </w:pPr>
      <w:r w:rsidRPr="00E3754A">
        <w:rPr>
          <w:lang w:val="en-AU"/>
        </w:rPr>
        <w:t>Providing sufficient</w:t>
      </w:r>
      <w:r w:rsidR="000B2ED6" w:rsidRPr="00E3754A">
        <w:rPr>
          <w:lang w:val="en-AU"/>
        </w:rPr>
        <w:t>, accessible</w:t>
      </w:r>
      <w:r w:rsidRPr="00E3754A">
        <w:rPr>
          <w:lang w:val="en-AU"/>
        </w:rPr>
        <w:t xml:space="preserve"> information (also noted in </w:t>
      </w:r>
      <w:r w:rsidR="00C60DDF" w:rsidRPr="00E3754A">
        <w:rPr>
          <w:lang w:val="en-AU"/>
        </w:rPr>
        <w:t>Carney &amp; Beaupert, 2013</w:t>
      </w:r>
      <w:r w:rsidRPr="00E3754A">
        <w:rPr>
          <w:lang w:val="en-AU"/>
        </w:rPr>
        <w:t>; Devi, 2013; Keeling, 2016</w:t>
      </w:r>
      <w:r w:rsidR="000B2ED6" w:rsidRPr="00E3754A">
        <w:rPr>
          <w:lang w:val="en-AU"/>
        </w:rPr>
        <w:t xml:space="preserve">; </w:t>
      </w:r>
      <w:r w:rsidRPr="00E3754A">
        <w:rPr>
          <w:lang w:val="en-AU"/>
        </w:rPr>
        <w:t xml:space="preserve">McDaid &amp; Delaney, 2010; Watson, 2016a). </w:t>
      </w:r>
    </w:p>
    <w:p w14:paraId="0C3CF770" w14:textId="2AEC3263" w:rsidR="000E31F7" w:rsidRPr="00E3754A" w:rsidRDefault="000E31F7" w:rsidP="00CC4BF3">
      <w:pPr>
        <w:pStyle w:val="NoSpacing"/>
        <w:numPr>
          <w:ilvl w:val="0"/>
          <w:numId w:val="22"/>
        </w:numPr>
        <w:rPr>
          <w:lang w:val="en-AU"/>
        </w:rPr>
      </w:pPr>
      <w:r w:rsidRPr="00E3754A">
        <w:rPr>
          <w:lang w:val="en-AU"/>
        </w:rPr>
        <w:t xml:space="preserve">Reminding the person </w:t>
      </w:r>
      <w:r w:rsidR="00C61445" w:rsidRPr="00E3754A">
        <w:rPr>
          <w:lang w:val="en-AU"/>
        </w:rPr>
        <w:t>of the information and reiterating previous information when required</w:t>
      </w:r>
      <w:r w:rsidR="00045F67" w:rsidRPr="00E3754A">
        <w:rPr>
          <w:lang w:val="en-AU"/>
        </w:rPr>
        <w:t xml:space="preserve"> (Devi, 2013)</w:t>
      </w:r>
      <w:r w:rsidR="00C61445" w:rsidRPr="00E3754A">
        <w:rPr>
          <w:lang w:val="en-AU"/>
        </w:rPr>
        <w:t>.</w:t>
      </w:r>
    </w:p>
    <w:p w14:paraId="19ED4182" w14:textId="7DEA2F47" w:rsidR="000E31F7" w:rsidRPr="00E3754A" w:rsidRDefault="00C61445" w:rsidP="00CC4BF3">
      <w:pPr>
        <w:pStyle w:val="NoSpacing"/>
        <w:numPr>
          <w:ilvl w:val="0"/>
          <w:numId w:val="22"/>
        </w:numPr>
        <w:rPr>
          <w:lang w:val="en-AU"/>
        </w:rPr>
      </w:pPr>
      <w:r w:rsidRPr="00E3754A">
        <w:rPr>
          <w:lang w:val="en-AU"/>
        </w:rPr>
        <w:t>Helping the</w:t>
      </w:r>
      <w:r w:rsidR="000E31F7" w:rsidRPr="00E3754A">
        <w:rPr>
          <w:lang w:val="en-AU"/>
        </w:rPr>
        <w:t xml:space="preserve"> person understand the consequences and risks of a decision (Devi, 2013). </w:t>
      </w:r>
    </w:p>
    <w:p w14:paraId="3DF6C615" w14:textId="3DBBF53F" w:rsidR="000E31F7" w:rsidRPr="00E3754A" w:rsidRDefault="000E31F7" w:rsidP="00CC4BF3">
      <w:pPr>
        <w:pStyle w:val="NoSpacing"/>
        <w:numPr>
          <w:ilvl w:val="0"/>
          <w:numId w:val="22"/>
        </w:numPr>
        <w:rPr>
          <w:lang w:val="en-AU"/>
        </w:rPr>
      </w:pPr>
      <w:r w:rsidRPr="00E3754A">
        <w:rPr>
          <w:lang w:val="en-AU"/>
        </w:rPr>
        <w:t>Using methods of communication that are appropriate to the person (</w:t>
      </w:r>
      <w:r w:rsidR="00C60DDF" w:rsidRPr="00E3754A">
        <w:rPr>
          <w:lang w:val="en-AU"/>
        </w:rPr>
        <w:t>Carney &amp; Beaupert, 2013</w:t>
      </w:r>
      <w:r w:rsidRPr="00E3754A">
        <w:rPr>
          <w:lang w:val="en-AU"/>
        </w:rPr>
        <w:t>; Keeling, 2016; Auckland Disability Law, n.d.).</w:t>
      </w:r>
    </w:p>
    <w:p w14:paraId="3F19F3C3" w14:textId="7F1277D8" w:rsidR="000E31F7" w:rsidRPr="00E3754A" w:rsidRDefault="000E31F7" w:rsidP="00CC4BF3">
      <w:pPr>
        <w:pStyle w:val="NoSpacing"/>
        <w:numPr>
          <w:ilvl w:val="0"/>
          <w:numId w:val="22"/>
        </w:numPr>
        <w:rPr>
          <w:lang w:val="en-AU"/>
        </w:rPr>
      </w:pPr>
      <w:r w:rsidRPr="00E3754A">
        <w:rPr>
          <w:lang w:val="en-AU"/>
        </w:rPr>
        <w:t xml:space="preserve">Making the person feel at ease (Keeling, 2016). </w:t>
      </w:r>
      <w:r w:rsidR="00901200" w:rsidRPr="00E3754A">
        <w:rPr>
          <w:lang w:val="en-AU"/>
        </w:rPr>
        <w:t xml:space="preserve">Further, </w:t>
      </w:r>
      <w:r w:rsidRPr="00E3754A">
        <w:rPr>
          <w:lang w:val="en-AU"/>
        </w:rPr>
        <w:t xml:space="preserve">McDaid &amp; Delaney (2010) </w:t>
      </w:r>
      <w:r w:rsidR="00C61445" w:rsidRPr="00E3754A">
        <w:rPr>
          <w:lang w:val="en-AU"/>
        </w:rPr>
        <w:t xml:space="preserve">highlight the specific need to show empathy to </w:t>
      </w:r>
      <w:r w:rsidRPr="00E3754A">
        <w:rPr>
          <w:lang w:val="en-AU"/>
        </w:rPr>
        <w:t>people in emotional distress.</w:t>
      </w:r>
    </w:p>
    <w:p w14:paraId="61A95B67" w14:textId="4EEE8034" w:rsidR="000E31F7" w:rsidRPr="00E3754A" w:rsidRDefault="000E31F7" w:rsidP="00CC4BF3">
      <w:pPr>
        <w:pStyle w:val="NoSpacing"/>
        <w:numPr>
          <w:ilvl w:val="0"/>
          <w:numId w:val="22"/>
        </w:numPr>
        <w:rPr>
          <w:lang w:val="en-AU"/>
        </w:rPr>
      </w:pPr>
      <w:r w:rsidRPr="00E3754A">
        <w:rPr>
          <w:lang w:val="en-AU"/>
        </w:rPr>
        <w:t xml:space="preserve">Communicating the person’s will and preference to others (Keeling, 2016) and recognising their personal communication </w:t>
      </w:r>
      <w:r w:rsidR="008E5FE2" w:rsidRPr="00E3754A">
        <w:rPr>
          <w:lang w:val="en-AU"/>
        </w:rPr>
        <w:t>styles and strategies</w:t>
      </w:r>
      <w:r w:rsidRPr="00E3754A">
        <w:rPr>
          <w:lang w:val="en-AU"/>
        </w:rPr>
        <w:t xml:space="preserve"> (Tracy, 2015; Wade, 2016; Watson, 2016a).</w:t>
      </w:r>
    </w:p>
    <w:p w14:paraId="392456E9" w14:textId="4791D97B" w:rsidR="000E31F7" w:rsidRPr="00E3754A" w:rsidRDefault="000E31F7" w:rsidP="00CC4BF3">
      <w:pPr>
        <w:pStyle w:val="NoSpacing"/>
        <w:numPr>
          <w:ilvl w:val="0"/>
          <w:numId w:val="22"/>
        </w:numPr>
        <w:rPr>
          <w:lang w:val="en-AU"/>
        </w:rPr>
      </w:pPr>
      <w:r w:rsidRPr="00E3754A">
        <w:rPr>
          <w:lang w:val="en-AU"/>
        </w:rPr>
        <w:t>Utili</w:t>
      </w:r>
      <w:r w:rsidR="00FF15A8" w:rsidRPr="00E3754A">
        <w:rPr>
          <w:lang w:val="en-AU"/>
        </w:rPr>
        <w:t>s</w:t>
      </w:r>
      <w:r w:rsidRPr="00E3754A">
        <w:rPr>
          <w:lang w:val="en-AU"/>
        </w:rPr>
        <w:t>ing the skills of others to aid the process of communication and unde</w:t>
      </w:r>
      <w:r w:rsidR="004C10AC" w:rsidRPr="00E3754A">
        <w:rPr>
          <w:lang w:val="en-AU"/>
        </w:rPr>
        <w:t xml:space="preserve">rstanding. For example, engaging </w:t>
      </w:r>
      <w:r w:rsidRPr="00E3754A">
        <w:rPr>
          <w:lang w:val="en-AU"/>
        </w:rPr>
        <w:t xml:space="preserve">family or sign language interpreters </w:t>
      </w:r>
      <w:r w:rsidR="00901200" w:rsidRPr="00E3754A">
        <w:rPr>
          <w:lang w:val="en-AU"/>
        </w:rPr>
        <w:t>or other</w:t>
      </w:r>
      <w:r w:rsidR="00B854AF" w:rsidRPr="00E3754A">
        <w:rPr>
          <w:lang w:val="en-AU"/>
        </w:rPr>
        <w:t>s</w:t>
      </w:r>
      <w:r w:rsidR="00901200" w:rsidRPr="00E3754A">
        <w:rPr>
          <w:lang w:val="en-AU"/>
        </w:rPr>
        <w:t xml:space="preserve"> </w:t>
      </w:r>
      <w:r w:rsidR="00B854AF" w:rsidRPr="00E3754A">
        <w:rPr>
          <w:lang w:val="en-AU"/>
        </w:rPr>
        <w:t>who can assist with communication</w:t>
      </w:r>
      <w:r w:rsidRPr="00E3754A">
        <w:rPr>
          <w:lang w:val="en-AU"/>
        </w:rPr>
        <w:t xml:space="preserve"> (Keeling, 2016; Wade, 2016).</w:t>
      </w:r>
    </w:p>
    <w:p w14:paraId="18214D20" w14:textId="5DFDC556" w:rsidR="000E31F7" w:rsidRPr="00E3754A" w:rsidRDefault="000E31F7" w:rsidP="00CC4BF3">
      <w:pPr>
        <w:pStyle w:val="NoSpacing"/>
        <w:numPr>
          <w:ilvl w:val="0"/>
          <w:numId w:val="22"/>
        </w:numPr>
        <w:rPr>
          <w:lang w:val="en-AU"/>
        </w:rPr>
      </w:pPr>
      <w:r w:rsidRPr="00E3754A">
        <w:rPr>
          <w:lang w:val="en-AU"/>
        </w:rPr>
        <w:t>Recogni</w:t>
      </w:r>
      <w:r w:rsidR="007E7AB6" w:rsidRPr="00E3754A">
        <w:rPr>
          <w:lang w:val="en-AU"/>
        </w:rPr>
        <w:t>si</w:t>
      </w:r>
      <w:r w:rsidRPr="00E3754A">
        <w:rPr>
          <w:lang w:val="en-AU"/>
        </w:rPr>
        <w:t xml:space="preserve">ng and respecting people’s different decision-making processes. </w:t>
      </w:r>
      <w:r w:rsidR="004C10AC" w:rsidRPr="00E3754A">
        <w:rPr>
          <w:lang w:val="en-AU"/>
        </w:rPr>
        <w:t xml:space="preserve">Including allowing sufficient </w:t>
      </w:r>
      <w:r w:rsidRPr="00E3754A">
        <w:rPr>
          <w:lang w:val="en-AU"/>
        </w:rPr>
        <w:t>time (</w:t>
      </w:r>
      <w:r w:rsidR="00C60DDF" w:rsidRPr="00E3754A">
        <w:rPr>
          <w:lang w:val="en-AU"/>
        </w:rPr>
        <w:t>Carney &amp; Beaupert, 2013</w:t>
      </w:r>
      <w:r w:rsidRPr="00E3754A">
        <w:rPr>
          <w:lang w:val="en-AU"/>
        </w:rPr>
        <w:t>; Devi, 2013; Keeling, 2016; McDaid &amp; Delaney, 2010;</w:t>
      </w:r>
      <w:r w:rsidR="004C10AC" w:rsidRPr="00E3754A">
        <w:rPr>
          <w:lang w:val="en-AU"/>
        </w:rPr>
        <w:t xml:space="preserve"> Auckland Disability Law, n.d.) and re</w:t>
      </w:r>
      <w:r w:rsidRPr="00E3754A">
        <w:rPr>
          <w:lang w:val="en-AU"/>
        </w:rPr>
        <w:t>cogni</w:t>
      </w:r>
      <w:r w:rsidR="00350C6E" w:rsidRPr="00E3754A">
        <w:rPr>
          <w:lang w:val="en-AU"/>
        </w:rPr>
        <w:t>s</w:t>
      </w:r>
      <w:r w:rsidRPr="00E3754A">
        <w:rPr>
          <w:lang w:val="en-AU"/>
        </w:rPr>
        <w:t xml:space="preserve">ing </w:t>
      </w:r>
      <w:r w:rsidR="004C10AC" w:rsidRPr="00E3754A">
        <w:rPr>
          <w:lang w:val="en-AU"/>
        </w:rPr>
        <w:t xml:space="preserve">and supporting </w:t>
      </w:r>
      <w:r w:rsidRPr="00E3754A">
        <w:rPr>
          <w:lang w:val="en-AU"/>
        </w:rPr>
        <w:t xml:space="preserve">the value of close, trusting relationships and their </w:t>
      </w:r>
      <w:r w:rsidR="001B6E02" w:rsidRPr="00E3754A">
        <w:rPr>
          <w:lang w:val="en-AU"/>
        </w:rPr>
        <w:t xml:space="preserve">potential </w:t>
      </w:r>
      <w:r w:rsidRPr="00E3754A">
        <w:rPr>
          <w:lang w:val="en-AU"/>
        </w:rPr>
        <w:t>role in decision-making (also see Auckland Disability Law, n.d.; Keeling, 2016).</w:t>
      </w:r>
    </w:p>
    <w:p w14:paraId="55A2FC0F" w14:textId="218CA0F5" w:rsidR="0017189A" w:rsidRPr="00E3754A" w:rsidRDefault="0044379C" w:rsidP="0044379C">
      <w:pPr>
        <w:pStyle w:val="Heading4"/>
        <w:rPr>
          <w:lang w:val="en-AU"/>
        </w:rPr>
      </w:pPr>
      <w:r w:rsidRPr="00E3754A">
        <w:rPr>
          <w:lang w:val="en-AU"/>
        </w:rPr>
        <w:t>Where is supported decision-making practiced and by whom?</w:t>
      </w:r>
    </w:p>
    <w:p w14:paraId="46FAC963" w14:textId="77777777" w:rsidR="00317C56" w:rsidRPr="00E3754A" w:rsidRDefault="00317C56" w:rsidP="00317C56">
      <w:pPr>
        <w:pStyle w:val="Heading5"/>
        <w:rPr>
          <w:lang w:val="en-AU"/>
        </w:rPr>
      </w:pPr>
      <w:r w:rsidRPr="00E3754A">
        <w:rPr>
          <w:lang w:val="en-AU"/>
        </w:rPr>
        <w:t>Formal supported decision-making initiatives</w:t>
      </w:r>
    </w:p>
    <w:p w14:paraId="6E4EC74E" w14:textId="71A4EA1A" w:rsidR="00763F94" w:rsidRPr="00E3754A" w:rsidRDefault="00317C56" w:rsidP="006A4596">
      <w:pPr>
        <w:rPr>
          <w:lang w:val="en-AU"/>
        </w:rPr>
      </w:pPr>
      <w:r w:rsidRPr="00E3754A">
        <w:rPr>
          <w:lang w:val="en-AU"/>
        </w:rPr>
        <w:t xml:space="preserve">Formal support with decision-making could be provided through private appointment according to the needs of the individual or by means of a tribunal, court, or centre that specialises in providing support (Bach &amp; Kerzner, 2010; </w:t>
      </w:r>
      <w:r w:rsidR="00C60DDF" w:rsidRPr="00E3754A">
        <w:rPr>
          <w:lang w:val="en-AU"/>
        </w:rPr>
        <w:t>Carney &amp; Beaupert, 2013</w:t>
      </w:r>
      <w:r w:rsidRPr="00E3754A">
        <w:rPr>
          <w:lang w:val="en-AU"/>
        </w:rPr>
        <w:t>;</w:t>
      </w:r>
      <w:r w:rsidR="00C70F6B" w:rsidRPr="00E3754A">
        <w:rPr>
          <w:lang w:val="en-AU"/>
        </w:rPr>
        <w:t xml:space="preserve"> </w:t>
      </w:r>
      <w:r w:rsidR="00C60DDF" w:rsidRPr="00E3754A">
        <w:rPr>
          <w:lang w:val="en-AU"/>
        </w:rPr>
        <w:t>Carney, 2013</w:t>
      </w:r>
      <w:r w:rsidR="00C70F6B" w:rsidRPr="00E3754A">
        <w:rPr>
          <w:lang w:val="en-AU"/>
        </w:rPr>
        <w:t>;</w:t>
      </w:r>
      <w:r w:rsidRPr="00E3754A">
        <w:rPr>
          <w:lang w:val="en-AU"/>
        </w:rPr>
        <w:t xml:space="preserve"> Devi, 2013).</w:t>
      </w:r>
      <w:r w:rsidRPr="00E3754A">
        <w:rPr>
          <w:rStyle w:val="FootnoteReference"/>
          <w:lang w:val="en-AU"/>
        </w:rPr>
        <w:footnoteReference w:id="19"/>
      </w:r>
      <w:r w:rsidRPr="00E3754A">
        <w:rPr>
          <w:lang w:val="en-AU"/>
        </w:rPr>
        <w:t xml:space="preserve"> In British Columbia,</w:t>
      </w:r>
      <w:r w:rsidR="001804B5" w:rsidRPr="00E3754A">
        <w:rPr>
          <w:lang w:val="en-AU"/>
        </w:rPr>
        <w:t xml:space="preserve"> for example,</w:t>
      </w:r>
      <w:r w:rsidRPr="00E3754A">
        <w:rPr>
          <w:lang w:val="en-AU"/>
        </w:rPr>
        <w:t xml:space="preserve"> courts can formally appoint someone already close to the disabled person by means of an administrative tribunal upon an application, including an application from the disabled person themselves (Devi, 2013). In Scotland, formal and funded support can be provided by means of independent advocates who can visit on request (Stavert, 2016; The Scottish Government, 2013). Some evidence suggests that independent advocates can have an advantage in roles intended to support decision-making due to the fact that they do not come to the supporter role with ingrained assumptions about the person and they do not have a personal stake in the choices a person might have (Burgen, 2016).</w:t>
      </w:r>
    </w:p>
    <w:tbl>
      <w:tblPr>
        <w:tblStyle w:val="Style1"/>
        <w:tblW w:w="5000" w:type="pct"/>
        <w:tblLook w:val="04A0" w:firstRow="1" w:lastRow="0" w:firstColumn="1" w:lastColumn="0" w:noHBand="0" w:noVBand="1"/>
      </w:tblPr>
      <w:tblGrid>
        <w:gridCol w:w="9236"/>
      </w:tblGrid>
      <w:tr w:rsidR="00125283" w:rsidRPr="00E3754A" w14:paraId="27F7FE5B" w14:textId="77777777" w:rsidTr="00763F94">
        <w:tc>
          <w:tcPr>
            <w:tcW w:w="5000" w:type="pct"/>
          </w:tcPr>
          <w:p w14:paraId="1DA2CFF1" w14:textId="68983CBF" w:rsidR="00125283" w:rsidRPr="00E3754A" w:rsidRDefault="00125283" w:rsidP="00125283">
            <w:pPr>
              <w:pStyle w:val="NoSpacing"/>
              <w:rPr>
                <w:lang w:val="en-AU"/>
              </w:rPr>
            </w:pPr>
            <w:r w:rsidRPr="00E3754A">
              <w:rPr>
                <w:rStyle w:val="Emphasis"/>
                <w:lang w:val="en-AU"/>
              </w:rPr>
              <w:t>Sweden’s</w:t>
            </w:r>
            <w:r w:rsidRPr="00E3754A">
              <w:rPr>
                <w:lang w:val="en-AU"/>
              </w:rPr>
              <w:t xml:space="preserve"> PO Skåne programme has been a frequently recommended model in the literature and by the European Commissioner for Human Rights (Gooding, 2013; Gooding, 2015; Mental Disability Advocacy Center, n.d.). In Sweden, a mentor (who can be someone close to the </w:t>
            </w:r>
            <w:r w:rsidR="002C5EA2" w:rsidRPr="00E3754A">
              <w:rPr>
                <w:lang w:val="en-AU"/>
              </w:rPr>
              <w:t>disabled person</w:t>
            </w:r>
            <w:r w:rsidRPr="00E3754A">
              <w:rPr>
                <w:lang w:val="en-AU"/>
              </w:rPr>
              <w:t xml:space="preserve">) is appointed through the court system with the consent of the </w:t>
            </w:r>
            <w:r w:rsidR="002C5EA2" w:rsidRPr="00E3754A">
              <w:rPr>
                <w:lang w:val="en-AU"/>
              </w:rPr>
              <w:t>person</w:t>
            </w:r>
            <w:r w:rsidRPr="00E3754A">
              <w:rPr>
                <w:lang w:val="en-AU"/>
              </w:rPr>
              <w:t xml:space="preserve"> to assist their legal capacity (Devi et al., 2011; Morrissey, 2012). This is described a</w:t>
            </w:r>
            <w:r w:rsidR="00901200" w:rsidRPr="00E3754A">
              <w:rPr>
                <w:lang w:val="en-AU"/>
              </w:rPr>
              <w:t>s an advocacy arrangement (Good</w:t>
            </w:r>
            <w:r w:rsidRPr="00E3754A">
              <w:rPr>
                <w:lang w:val="en-AU"/>
              </w:rPr>
              <w:t xml:space="preserve">ing, 2015). Requesting these services is informal, fast and free (Devi et al., 2011). Services are flexible so that they can be available 24/7 </w:t>
            </w:r>
            <w:r w:rsidR="006256EF" w:rsidRPr="00E3754A">
              <w:rPr>
                <w:lang w:val="en-AU"/>
              </w:rPr>
              <w:t>if required</w:t>
            </w:r>
            <w:r w:rsidR="006F7CE1" w:rsidRPr="00E3754A">
              <w:rPr>
                <w:lang w:val="en-AU"/>
              </w:rPr>
              <w:t xml:space="preserve"> </w:t>
            </w:r>
            <w:r w:rsidRPr="00E3754A">
              <w:rPr>
                <w:lang w:val="en-AU"/>
              </w:rPr>
              <w:t xml:space="preserve">(Mental Disability Advocacy Center, n.d.). The </w:t>
            </w:r>
            <w:r w:rsidR="002C5EA2" w:rsidRPr="00E3754A">
              <w:rPr>
                <w:lang w:val="en-AU"/>
              </w:rPr>
              <w:t>disabled person</w:t>
            </w:r>
            <w:r w:rsidRPr="00E3754A">
              <w:rPr>
                <w:lang w:val="en-AU"/>
              </w:rPr>
              <w:t xml:space="preserve"> retains full legal capacity when employing this assistance and the </w:t>
            </w:r>
            <w:r w:rsidR="002C5EA2" w:rsidRPr="00E3754A">
              <w:rPr>
                <w:lang w:val="en-AU"/>
              </w:rPr>
              <w:t>disabled person</w:t>
            </w:r>
            <w:r w:rsidRPr="00E3754A">
              <w:rPr>
                <w:lang w:val="en-AU"/>
              </w:rPr>
              <w:t xml:space="preserve"> can withdraw consent to the relationship </w:t>
            </w:r>
            <w:r w:rsidR="006256EF" w:rsidRPr="00E3754A">
              <w:rPr>
                <w:lang w:val="en-AU"/>
              </w:rPr>
              <w:t>according to their will and preference</w:t>
            </w:r>
            <w:r w:rsidRPr="00E3754A">
              <w:rPr>
                <w:lang w:val="en-AU"/>
              </w:rPr>
              <w:t xml:space="preserve"> (Devi et al., 2011). The programme is run by an independent NGO (Mental Disability Advocacy Center, n.d.).</w:t>
            </w:r>
          </w:p>
          <w:p w14:paraId="0A102214" w14:textId="302D96EA" w:rsidR="00125283" w:rsidRPr="00E3754A" w:rsidRDefault="00125283" w:rsidP="006256EF">
            <w:pPr>
              <w:pStyle w:val="NoSpacing"/>
              <w:rPr>
                <w:lang w:val="en-AU"/>
              </w:rPr>
            </w:pPr>
            <w:r w:rsidRPr="00E3754A">
              <w:rPr>
                <w:lang w:val="en-AU"/>
              </w:rPr>
              <w:t xml:space="preserve">The program has contributed to meaningful positive results for decision-making and reductions in psychiatric symptoms, including a reduced need for crisis interventions (Series, 2015). </w:t>
            </w:r>
          </w:p>
        </w:tc>
      </w:tr>
      <w:tr w:rsidR="0086474A" w:rsidRPr="00E3754A" w14:paraId="50C09BBC" w14:textId="77777777" w:rsidTr="0086474A">
        <w:tc>
          <w:tcPr>
            <w:tcW w:w="5000" w:type="pct"/>
          </w:tcPr>
          <w:p w14:paraId="5855D93B" w14:textId="335F4E85" w:rsidR="0086474A" w:rsidRPr="00E3754A" w:rsidRDefault="0086474A" w:rsidP="006C1AEB">
            <w:pPr>
              <w:pStyle w:val="NoSpacing"/>
              <w:rPr>
                <w:lang w:val="en-AU"/>
              </w:rPr>
            </w:pPr>
            <w:r w:rsidRPr="00E3754A">
              <w:rPr>
                <w:lang w:val="en-AU"/>
              </w:rPr>
              <w:t xml:space="preserve">The Representation Agreement Act in </w:t>
            </w:r>
            <w:r w:rsidRPr="00E3754A">
              <w:rPr>
                <w:rStyle w:val="Emphasis"/>
                <w:lang w:val="en-AU"/>
              </w:rPr>
              <w:t>British Columbia, Canada,</w:t>
            </w:r>
            <w:r w:rsidRPr="00E3754A">
              <w:rPr>
                <w:lang w:val="en-AU"/>
              </w:rPr>
              <w:t xml:space="preserve"> is an example of a formal</w:t>
            </w:r>
            <w:r w:rsidR="001804B5" w:rsidRPr="00E3754A">
              <w:rPr>
                <w:lang w:val="en-AU"/>
              </w:rPr>
              <w:t xml:space="preserve">, </w:t>
            </w:r>
            <w:r w:rsidR="00BA7D86" w:rsidRPr="00BA7D86">
              <w:rPr>
                <w:lang w:val="en-AU"/>
              </w:rPr>
              <w:t>statutorily</w:t>
            </w:r>
            <w:r w:rsidR="001804B5" w:rsidRPr="00E3754A">
              <w:rPr>
                <w:lang w:val="en-AU"/>
              </w:rPr>
              <w:t xml:space="preserve"> recognised</w:t>
            </w:r>
            <w:r w:rsidRPr="00E3754A">
              <w:rPr>
                <w:lang w:val="en-AU"/>
              </w:rPr>
              <w:t xml:space="preserve"> supported decision-making initiative (Devi et al., 2011; </w:t>
            </w:r>
            <w:r w:rsidR="001804B5" w:rsidRPr="00E3754A">
              <w:rPr>
                <w:lang w:val="en-AU"/>
              </w:rPr>
              <w:t xml:space="preserve">Series et al., 2014; </w:t>
            </w:r>
            <w:r w:rsidRPr="00E3754A">
              <w:rPr>
                <w:lang w:val="en-AU"/>
              </w:rPr>
              <w:t>Watson, 2016a). Under the Representation Agreement (RA) process, a disabled person can enter into a</w:t>
            </w:r>
            <w:r w:rsidR="001804B5" w:rsidRPr="00E3754A">
              <w:rPr>
                <w:lang w:val="en-AU"/>
              </w:rPr>
              <w:t xml:space="preserve"> contractual</w:t>
            </w:r>
            <w:r w:rsidRPr="00E3754A">
              <w:rPr>
                <w:lang w:val="en-AU"/>
              </w:rPr>
              <w:t xml:space="preserve"> agreement with a trusted person who is appointed to represent them, their will, and preferences and to help them exercise their legal capacity (Devi et al., 2011; Series, 2015; </w:t>
            </w:r>
            <w:r w:rsidR="001804B5" w:rsidRPr="00E3754A">
              <w:rPr>
                <w:lang w:val="en-AU"/>
              </w:rPr>
              <w:t xml:space="preserve">Series et al., 2014; </w:t>
            </w:r>
            <w:r w:rsidRPr="00E3754A">
              <w:rPr>
                <w:lang w:val="en-AU"/>
              </w:rPr>
              <w:t>Watson, 2016a). This may be by means of explaining information or expressing the person’s interests to others or making decisions for the disabled person at their direction (Devi et al. 2011; Gooding, 2013; Morrissey, 2012). Legal capacity is assumed (Pathare &amp; Shields, 2012; Morrissey, 2012).</w:t>
            </w:r>
          </w:p>
          <w:p w14:paraId="707B999A" w14:textId="6518CFE6" w:rsidR="0086474A" w:rsidRPr="00E3754A" w:rsidRDefault="0086474A" w:rsidP="006C1AEB">
            <w:pPr>
              <w:pStyle w:val="NoSpacing"/>
              <w:rPr>
                <w:lang w:val="en-AU"/>
              </w:rPr>
            </w:pPr>
            <w:r w:rsidRPr="00E3754A">
              <w:rPr>
                <w:lang w:val="en-AU"/>
              </w:rPr>
              <w:t>To date, supported decision-making under the Representation Agreement initiative can be implemented for decisions regarding healthcare, personal care, legal matters, and financial matters (Pathare &amp; Shields, 2012; Stainton, 2015). A disabled person can have multiple representatives for different areas of their lives (Pathare &amp; Shields, 2012; Stainton, 2015). There is no test for capacity unless the decision is restricted from a repre</w:t>
            </w:r>
            <w:r w:rsidR="00957541" w:rsidRPr="00E3754A">
              <w:rPr>
                <w:lang w:val="en-AU"/>
              </w:rPr>
              <w:t>senta</w:t>
            </w:r>
            <w:r w:rsidRPr="00E3754A">
              <w:rPr>
                <w:lang w:val="en-AU"/>
              </w:rPr>
              <w:t>tive’s scope under the Act, for example ECT and abortion decisions and refusals of treatment require a level of capacity from the supported person so that a representative can make decisions with regard to those (Stainton, 2015). Although the process is formal, it is inexpensive and relatively straightforward to establish (Stainton, 2015). This initiative has not been evaluated (Watson, 2016a).</w:t>
            </w:r>
          </w:p>
        </w:tc>
      </w:tr>
      <w:tr w:rsidR="0086474A" w:rsidRPr="00E3754A" w14:paraId="041702D5" w14:textId="77777777" w:rsidTr="0086474A">
        <w:tc>
          <w:tcPr>
            <w:tcW w:w="5000" w:type="pct"/>
          </w:tcPr>
          <w:p w14:paraId="3ECE1C0D" w14:textId="77777777" w:rsidR="0086474A" w:rsidRPr="00E3754A" w:rsidRDefault="0086474A" w:rsidP="006C1AEB">
            <w:pPr>
              <w:pStyle w:val="NoSpacing"/>
              <w:rPr>
                <w:lang w:val="en-AU"/>
              </w:rPr>
            </w:pPr>
            <w:r w:rsidRPr="00E3754A">
              <w:rPr>
                <w:lang w:val="en-AU"/>
              </w:rPr>
              <w:t>The parliament of</w:t>
            </w:r>
            <w:r w:rsidRPr="00E3754A">
              <w:rPr>
                <w:rStyle w:val="Emphasis"/>
                <w:color w:val="auto"/>
                <w:lang w:val="en-AU"/>
              </w:rPr>
              <w:t xml:space="preserve"> </w:t>
            </w:r>
            <w:r w:rsidRPr="00E3754A">
              <w:rPr>
                <w:rStyle w:val="Emphasis"/>
                <w:lang w:val="en-AU"/>
              </w:rPr>
              <w:t>Victoria, Australia,</w:t>
            </w:r>
            <w:r w:rsidRPr="00E3754A">
              <w:rPr>
                <w:rStyle w:val="Emphasis"/>
                <w:color w:val="auto"/>
                <w:lang w:val="en-AU"/>
              </w:rPr>
              <w:t xml:space="preserve"> </w:t>
            </w:r>
            <w:r w:rsidRPr="00E3754A">
              <w:rPr>
                <w:lang w:val="en-AU"/>
              </w:rPr>
              <w:t>has made provisions for a publicly-funded support scheme in their legislative change, The Mental Health Bill 2014 (Department of Health, 2014). Currently, the ‘Advocates’ support scheme is only for persons already receiving public mental health service. Therefore is not available to all disabled people who may need support with decision-making.</w:t>
            </w:r>
          </w:p>
        </w:tc>
      </w:tr>
      <w:tr w:rsidR="0086474A" w:rsidRPr="00E3754A" w14:paraId="1636F515" w14:textId="77777777" w:rsidTr="0086474A">
        <w:tc>
          <w:tcPr>
            <w:tcW w:w="5000" w:type="pct"/>
          </w:tcPr>
          <w:p w14:paraId="4083AAA9" w14:textId="77777777" w:rsidR="0086474A" w:rsidRPr="00E3754A" w:rsidRDefault="0086474A" w:rsidP="006C1AEB">
            <w:pPr>
              <w:pStyle w:val="NoSpacing"/>
              <w:rPr>
                <w:lang w:val="en-AU"/>
              </w:rPr>
            </w:pPr>
            <w:r w:rsidRPr="00E3754A">
              <w:rPr>
                <w:lang w:val="en-AU"/>
              </w:rPr>
              <w:t xml:space="preserve">In </w:t>
            </w:r>
            <w:r w:rsidRPr="00E3754A">
              <w:rPr>
                <w:rStyle w:val="Emphasis"/>
                <w:lang w:val="en-AU"/>
              </w:rPr>
              <w:t>Saskatchewan, Canada,</w:t>
            </w:r>
            <w:r w:rsidRPr="00E3754A">
              <w:rPr>
                <w:lang w:val="en-AU"/>
              </w:rPr>
              <w:t xml:space="preserve"> a co-decision-making initiative has been implemented for financial decision-making (Victorian Law Reform Commission, 2012). However, co-decision-making arrangements are established by the court rather than by personal appointment and the consent of the disabled person is not required.</w:t>
            </w:r>
          </w:p>
        </w:tc>
      </w:tr>
    </w:tbl>
    <w:p w14:paraId="24811A72" w14:textId="62668A74" w:rsidR="005E28A5" w:rsidRPr="00E3754A" w:rsidRDefault="005E28A5" w:rsidP="005E28A5">
      <w:pPr>
        <w:pStyle w:val="NoSpacing"/>
        <w:rPr>
          <w:lang w:val="en-AU"/>
        </w:rPr>
      </w:pPr>
      <w:r w:rsidRPr="00E3754A">
        <w:rPr>
          <w:lang w:val="en-AU"/>
        </w:rPr>
        <w:t xml:space="preserve">Another option for </w:t>
      </w:r>
      <w:r w:rsidR="00051F6F" w:rsidRPr="00E3754A">
        <w:rPr>
          <w:lang w:val="en-AU"/>
        </w:rPr>
        <w:t xml:space="preserve">formally </w:t>
      </w:r>
      <w:r w:rsidRPr="00E3754A">
        <w:rPr>
          <w:lang w:val="en-AU"/>
        </w:rPr>
        <w:t xml:space="preserve">supporting </w:t>
      </w:r>
      <w:r w:rsidR="002C5EA2" w:rsidRPr="00E3754A">
        <w:rPr>
          <w:lang w:val="en-AU"/>
        </w:rPr>
        <w:t>disabled person</w:t>
      </w:r>
      <w:r w:rsidRPr="00E3754A">
        <w:rPr>
          <w:lang w:val="en-AU"/>
        </w:rPr>
        <w:t xml:space="preserve">s </w:t>
      </w:r>
      <w:r w:rsidR="00051F6F" w:rsidRPr="00E3754A">
        <w:rPr>
          <w:lang w:val="en-AU"/>
        </w:rPr>
        <w:t>is through</w:t>
      </w:r>
      <w:r w:rsidRPr="00E3754A">
        <w:rPr>
          <w:lang w:val="en-AU"/>
        </w:rPr>
        <w:t xml:space="preserve"> advocacy initiatives, as has been implemented in Scotland (see Flynn, 2010; </w:t>
      </w:r>
      <w:r w:rsidR="008E7968" w:rsidRPr="00E3754A">
        <w:rPr>
          <w:lang w:val="en-AU"/>
        </w:rPr>
        <w:t>SIAA, n.d.</w:t>
      </w:r>
      <w:r w:rsidRPr="00E3754A">
        <w:rPr>
          <w:lang w:val="en-AU"/>
        </w:rPr>
        <w:t xml:space="preserve">). Advocacy can take the form of representative advocacy (issue-based, citizen, peer and collective), systemic advocacy, and self-advocacy. Issue-based, citizen, and peer advocacy are </w:t>
      </w:r>
      <w:r w:rsidR="0016211A" w:rsidRPr="00E3754A">
        <w:rPr>
          <w:lang w:val="en-AU"/>
        </w:rPr>
        <w:t>person</w:t>
      </w:r>
      <w:r w:rsidRPr="00E3754A">
        <w:rPr>
          <w:lang w:val="en-AU"/>
        </w:rPr>
        <w:t>-to-</w:t>
      </w:r>
      <w:r w:rsidR="0016211A" w:rsidRPr="00E3754A">
        <w:rPr>
          <w:lang w:val="en-AU"/>
        </w:rPr>
        <w:t xml:space="preserve">person approaches </w:t>
      </w:r>
      <w:r w:rsidRPr="00E3754A">
        <w:rPr>
          <w:lang w:val="en-AU"/>
        </w:rPr>
        <w:t>(</w:t>
      </w:r>
      <w:r w:rsidR="008E7968" w:rsidRPr="00E3754A">
        <w:rPr>
          <w:lang w:val="en-AU"/>
        </w:rPr>
        <w:t>SIAA, n.d.</w:t>
      </w:r>
      <w:r w:rsidRPr="00E3754A">
        <w:rPr>
          <w:lang w:val="en-AU"/>
        </w:rPr>
        <w:t>). For example: issue-based advocacy can be paid or unpaid</w:t>
      </w:r>
      <w:r w:rsidR="0016211A" w:rsidRPr="00E3754A">
        <w:rPr>
          <w:lang w:val="en-AU"/>
        </w:rPr>
        <w:t xml:space="preserve"> and</w:t>
      </w:r>
      <w:r w:rsidRPr="00E3754A">
        <w:rPr>
          <w:lang w:val="en-AU"/>
        </w:rPr>
        <w:t xml:space="preserve"> short-term or </w:t>
      </w:r>
      <w:r w:rsidR="00C95396" w:rsidRPr="00E3754A">
        <w:rPr>
          <w:lang w:val="en-AU"/>
        </w:rPr>
        <w:t>long-term</w:t>
      </w:r>
      <w:r w:rsidRPr="00E3754A">
        <w:rPr>
          <w:lang w:val="en-AU"/>
        </w:rPr>
        <w:t xml:space="preserve"> support undertaken by a professional; citizen advocacy is where a citizen supports a person (unpaid); and peer advocacy is where someone advocates for a </w:t>
      </w:r>
      <w:r w:rsidR="002C5EA2" w:rsidRPr="00E3754A">
        <w:rPr>
          <w:lang w:val="en-AU"/>
        </w:rPr>
        <w:t>disabled person</w:t>
      </w:r>
      <w:r w:rsidRPr="00E3754A">
        <w:rPr>
          <w:lang w:val="en-AU"/>
        </w:rPr>
        <w:t xml:space="preserve"> on the basis of their having a shared interest (</w:t>
      </w:r>
      <w:r w:rsidR="008E7968" w:rsidRPr="00E3754A">
        <w:rPr>
          <w:lang w:val="en-AU"/>
        </w:rPr>
        <w:t>SIAA, n.d.</w:t>
      </w:r>
      <w:r w:rsidRPr="00E3754A">
        <w:rPr>
          <w:lang w:val="en-AU"/>
        </w:rPr>
        <w:t xml:space="preserve">). In comparison, collective advocacy is where a group of people come together on the basis of having a shared interest and work to represent that interest collectively. Systemic advocacy involves a process whereby persons advocate for systemic reform to lessen </w:t>
      </w:r>
      <w:r w:rsidR="00AA27C7">
        <w:rPr>
          <w:lang w:val="en-AU"/>
        </w:rPr>
        <w:t>societal-level</w:t>
      </w:r>
      <w:r w:rsidR="00AA27C7" w:rsidRPr="00E3754A">
        <w:rPr>
          <w:lang w:val="en-AU"/>
        </w:rPr>
        <w:t xml:space="preserve"> </w:t>
      </w:r>
      <w:r w:rsidRPr="00E3754A">
        <w:rPr>
          <w:lang w:val="en-AU"/>
        </w:rPr>
        <w:t xml:space="preserve">issues that have </w:t>
      </w:r>
      <w:r w:rsidR="00C95396" w:rsidRPr="00E3754A">
        <w:rPr>
          <w:lang w:val="en-AU"/>
        </w:rPr>
        <w:t xml:space="preserve">adverse </w:t>
      </w:r>
      <w:r w:rsidR="00AA27C7">
        <w:rPr>
          <w:lang w:val="en-AU"/>
        </w:rPr>
        <w:t>impacts</w:t>
      </w:r>
      <w:r w:rsidR="00AA27C7" w:rsidRPr="00E3754A">
        <w:rPr>
          <w:lang w:val="en-AU"/>
        </w:rPr>
        <w:t xml:space="preserve"> </w:t>
      </w:r>
      <w:r w:rsidRPr="00E3754A">
        <w:rPr>
          <w:lang w:val="en-AU"/>
        </w:rPr>
        <w:t xml:space="preserve">on </w:t>
      </w:r>
      <w:r w:rsidR="002C5EA2" w:rsidRPr="00E3754A">
        <w:rPr>
          <w:lang w:val="en-AU"/>
        </w:rPr>
        <w:t>disabled person</w:t>
      </w:r>
      <w:r w:rsidRPr="00E3754A">
        <w:rPr>
          <w:lang w:val="en-AU"/>
        </w:rPr>
        <w:t>s and their rights</w:t>
      </w:r>
      <w:r w:rsidR="00AA27C7">
        <w:rPr>
          <w:lang w:val="en-AU"/>
        </w:rPr>
        <w:t>,</w:t>
      </w:r>
      <w:r w:rsidRPr="00E3754A">
        <w:rPr>
          <w:lang w:val="en-AU"/>
        </w:rPr>
        <w:t xml:space="preserve"> and to promote positive reform (Flynn, 2010)</w:t>
      </w:r>
      <w:r w:rsidR="00AA27C7">
        <w:rPr>
          <w:lang w:val="en-AU"/>
        </w:rPr>
        <w:t>;</w:t>
      </w:r>
      <w:r w:rsidRPr="00E3754A">
        <w:rPr>
          <w:lang w:val="en-AU"/>
        </w:rPr>
        <w:t xml:space="preserve"> </w:t>
      </w:r>
      <w:r w:rsidR="00AA27C7">
        <w:rPr>
          <w:lang w:val="en-AU"/>
        </w:rPr>
        <w:t>i</w:t>
      </w:r>
      <w:r w:rsidRPr="00E3754A">
        <w:rPr>
          <w:lang w:val="en-AU"/>
        </w:rPr>
        <w:t xml:space="preserve">t seeks to empower </w:t>
      </w:r>
      <w:r w:rsidR="002C5EA2" w:rsidRPr="00E3754A">
        <w:rPr>
          <w:lang w:val="en-AU"/>
        </w:rPr>
        <w:t xml:space="preserve">disabled </w:t>
      </w:r>
      <w:r w:rsidR="00AA27C7">
        <w:rPr>
          <w:lang w:val="en-AU"/>
        </w:rPr>
        <w:t>people</w:t>
      </w:r>
      <w:r w:rsidRPr="00E3754A">
        <w:rPr>
          <w:lang w:val="en-AU"/>
        </w:rPr>
        <w:t xml:space="preserve">. Generally, advocacy is a means of better enabling </w:t>
      </w:r>
      <w:r w:rsidR="002C5EA2" w:rsidRPr="00E3754A">
        <w:rPr>
          <w:lang w:val="en-AU"/>
        </w:rPr>
        <w:t xml:space="preserve">disabled </w:t>
      </w:r>
      <w:r w:rsidR="0019522E">
        <w:rPr>
          <w:lang w:val="en-AU"/>
        </w:rPr>
        <w:t>people</w:t>
      </w:r>
      <w:r w:rsidRPr="00E3754A">
        <w:rPr>
          <w:lang w:val="en-AU"/>
        </w:rPr>
        <w:t>s</w:t>
      </w:r>
      <w:r w:rsidR="00D86544">
        <w:rPr>
          <w:lang w:val="en-AU"/>
        </w:rPr>
        <w:t>’</w:t>
      </w:r>
      <w:r w:rsidRPr="00E3754A">
        <w:rPr>
          <w:lang w:val="en-AU"/>
        </w:rPr>
        <w:t xml:space="preserve"> access to support services (Flynn, 2010).</w:t>
      </w:r>
      <w:r w:rsidR="0016211A" w:rsidRPr="00E3754A">
        <w:rPr>
          <w:lang w:val="en-AU"/>
        </w:rPr>
        <w:t xml:space="preserve"> Therefore, a</w:t>
      </w:r>
      <w:r w:rsidRPr="00E3754A">
        <w:rPr>
          <w:lang w:val="en-AU"/>
        </w:rPr>
        <w:t xml:space="preserve">ll forms of advocacy serve to empower and encourage self-advocacy (Flynn, 2010; </w:t>
      </w:r>
      <w:r w:rsidR="008E7968" w:rsidRPr="00E3754A">
        <w:rPr>
          <w:lang w:val="en-AU"/>
        </w:rPr>
        <w:t>SIAA, n.d.</w:t>
      </w:r>
      <w:r w:rsidRPr="00E3754A">
        <w:rPr>
          <w:lang w:val="en-AU"/>
        </w:rPr>
        <w:t xml:space="preserve">). All advocacy </w:t>
      </w:r>
      <w:r w:rsidR="00AA27C7">
        <w:rPr>
          <w:lang w:val="en-AU"/>
        </w:rPr>
        <w:t>has the purpose of helping</w:t>
      </w:r>
      <w:r w:rsidRPr="00E3754A">
        <w:rPr>
          <w:lang w:val="en-AU"/>
        </w:rPr>
        <w:t xml:space="preserve"> </w:t>
      </w:r>
      <w:r w:rsidR="002C5EA2" w:rsidRPr="00E3754A">
        <w:rPr>
          <w:lang w:val="en-AU"/>
        </w:rPr>
        <w:t xml:space="preserve">disabled </w:t>
      </w:r>
      <w:r w:rsidR="00AA27C7">
        <w:rPr>
          <w:lang w:val="en-AU"/>
        </w:rPr>
        <w:t>people</w:t>
      </w:r>
      <w:r w:rsidR="00AA27C7" w:rsidRPr="00E3754A">
        <w:rPr>
          <w:lang w:val="en-AU"/>
        </w:rPr>
        <w:t xml:space="preserve"> </w:t>
      </w:r>
      <w:r w:rsidRPr="00E3754A">
        <w:rPr>
          <w:lang w:val="en-AU"/>
        </w:rPr>
        <w:t>have their will and preferences heard (</w:t>
      </w:r>
      <w:r w:rsidR="008E7968" w:rsidRPr="00E3754A">
        <w:rPr>
          <w:lang w:val="en-AU"/>
        </w:rPr>
        <w:t>SIAA, n.d.</w:t>
      </w:r>
      <w:r w:rsidRPr="00E3754A">
        <w:rPr>
          <w:lang w:val="en-AU"/>
        </w:rPr>
        <w:t>) or decision-making supported (Stavert, 2015).</w:t>
      </w:r>
    </w:p>
    <w:tbl>
      <w:tblPr>
        <w:tblStyle w:val="Style1"/>
        <w:tblW w:w="5000" w:type="pct"/>
        <w:tblLook w:val="04A0" w:firstRow="1" w:lastRow="0" w:firstColumn="1" w:lastColumn="0" w:noHBand="0" w:noVBand="1"/>
      </w:tblPr>
      <w:tblGrid>
        <w:gridCol w:w="9236"/>
      </w:tblGrid>
      <w:tr w:rsidR="005E28A5" w:rsidRPr="00E3754A" w14:paraId="44565F6D" w14:textId="77777777" w:rsidTr="004D41D5">
        <w:tc>
          <w:tcPr>
            <w:tcW w:w="5000" w:type="pct"/>
          </w:tcPr>
          <w:p w14:paraId="07E0562B" w14:textId="7A940A9D" w:rsidR="005E28A5" w:rsidRPr="00E3754A" w:rsidRDefault="005E28A5" w:rsidP="005E28A5">
            <w:pPr>
              <w:pStyle w:val="NoSpacing"/>
              <w:rPr>
                <w:lang w:val="en-AU"/>
              </w:rPr>
            </w:pPr>
            <w:r w:rsidRPr="00E3754A">
              <w:rPr>
                <w:lang w:val="en-AU"/>
              </w:rPr>
              <w:t xml:space="preserve">The state of </w:t>
            </w:r>
            <w:r w:rsidRPr="00E3754A">
              <w:rPr>
                <w:rStyle w:val="Emphasis"/>
                <w:lang w:val="en-AU"/>
              </w:rPr>
              <w:t>Victoria, Australia</w:t>
            </w:r>
            <w:r w:rsidRPr="00E3754A">
              <w:rPr>
                <w:lang w:val="en-AU"/>
              </w:rPr>
              <w:t xml:space="preserve"> has recently started a support scheme whereby advocates are able to provide decision-making support over the telephone or in person. The scope of their support entails providing advice, providing information, and aiding </w:t>
            </w:r>
            <w:r w:rsidR="002C5EA2" w:rsidRPr="00E3754A">
              <w:rPr>
                <w:lang w:val="en-AU"/>
              </w:rPr>
              <w:t>disabled person</w:t>
            </w:r>
            <w:r w:rsidRPr="00E3754A">
              <w:rPr>
                <w:lang w:val="en-AU"/>
              </w:rPr>
              <w:t>s’ u</w:t>
            </w:r>
            <w:r w:rsidR="0027093B" w:rsidRPr="00E3754A">
              <w:rPr>
                <w:lang w:val="en-AU"/>
              </w:rPr>
              <w:t>nderstanding about their rights (Department of Health, 2014).</w:t>
            </w:r>
          </w:p>
        </w:tc>
      </w:tr>
      <w:tr w:rsidR="00F52FA8" w:rsidRPr="00E3754A" w14:paraId="6193CC15" w14:textId="77777777" w:rsidTr="00DA07F0">
        <w:tc>
          <w:tcPr>
            <w:tcW w:w="5000" w:type="pct"/>
          </w:tcPr>
          <w:p w14:paraId="2645DF49" w14:textId="2614E49E" w:rsidR="00F52FA8" w:rsidRPr="00E3754A" w:rsidRDefault="00F52FA8" w:rsidP="00FC03A2">
            <w:pPr>
              <w:pStyle w:val="NoSpacing"/>
              <w:rPr>
                <w:lang w:val="en-AU"/>
              </w:rPr>
            </w:pPr>
            <w:r w:rsidRPr="00E3754A">
              <w:rPr>
                <w:lang w:val="en-AU"/>
              </w:rPr>
              <w:t xml:space="preserve">In </w:t>
            </w:r>
            <w:r w:rsidRPr="00E3754A">
              <w:rPr>
                <w:rStyle w:val="Emphasis"/>
                <w:lang w:val="en-AU"/>
              </w:rPr>
              <w:t>Australia,</w:t>
            </w:r>
            <w:r w:rsidRPr="00E3754A">
              <w:rPr>
                <w:lang w:val="en-AU"/>
              </w:rPr>
              <w:t xml:space="preserve"> Disabled Persons’ Organisations (DPOs) engage in systemic advocacy and mostly rely on government funding for their activities (Kayess et al. 2014). However, tensions can arise when DPOs target government policies and initiatives while receiving government funding. </w:t>
            </w:r>
          </w:p>
        </w:tc>
      </w:tr>
      <w:tr w:rsidR="00F52FA8" w:rsidRPr="00E3754A" w14:paraId="35DB5A01" w14:textId="77777777" w:rsidTr="00DA07F0">
        <w:tc>
          <w:tcPr>
            <w:tcW w:w="5000" w:type="pct"/>
          </w:tcPr>
          <w:p w14:paraId="4D4A48E5" w14:textId="1569AF91" w:rsidR="00F52FA8" w:rsidRPr="00E3754A" w:rsidRDefault="00F52FA8" w:rsidP="00FC03A2">
            <w:pPr>
              <w:pStyle w:val="NoSpacing"/>
              <w:rPr>
                <w:lang w:val="en-AU"/>
              </w:rPr>
            </w:pPr>
            <w:r w:rsidRPr="00E3754A">
              <w:rPr>
                <w:lang w:val="en-AU"/>
              </w:rPr>
              <w:t xml:space="preserve">In </w:t>
            </w:r>
            <w:r w:rsidRPr="00E3754A">
              <w:rPr>
                <w:rStyle w:val="Emphasis"/>
                <w:lang w:val="en-AU"/>
              </w:rPr>
              <w:t>British Columbia, Canada,</w:t>
            </w:r>
            <w:r w:rsidRPr="00E3754A">
              <w:rPr>
                <w:lang w:val="en-AU"/>
              </w:rPr>
              <w:t xml:space="preserve"> a resource centre has been established to provide people with resources and training freely or inexpensively, entitled The Nidus Personal Planning Resource Centre and Registry (Stainton, 2016; refer to Additional Resources section). The resources have a focus on assisting disabled people to get information about and gain access to support.</w:t>
            </w:r>
          </w:p>
        </w:tc>
      </w:tr>
      <w:tr w:rsidR="00F52FA8" w:rsidRPr="00E3754A" w14:paraId="12BDA30E" w14:textId="77777777" w:rsidTr="00DA07F0">
        <w:tc>
          <w:tcPr>
            <w:tcW w:w="5000" w:type="pct"/>
          </w:tcPr>
          <w:p w14:paraId="4FEB58E2" w14:textId="175CF4E7" w:rsidR="00F52FA8" w:rsidRPr="00E3754A" w:rsidRDefault="00F52FA8" w:rsidP="00F52FA8">
            <w:pPr>
              <w:pStyle w:val="NoSpacing"/>
              <w:rPr>
                <w:lang w:val="en-AU"/>
              </w:rPr>
            </w:pPr>
            <w:r w:rsidRPr="00E3754A">
              <w:rPr>
                <w:lang w:val="en-AU"/>
              </w:rPr>
              <w:t xml:space="preserve">In </w:t>
            </w:r>
            <w:r w:rsidRPr="00E3754A">
              <w:rPr>
                <w:rStyle w:val="Emphasis"/>
                <w:lang w:val="en-AU"/>
              </w:rPr>
              <w:t>Quebec, Canada</w:t>
            </w:r>
            <w:r w:rsidRPr="00E3754A">
              <w:rPr>
                <w:lang w:val="en-AU"/>
              </w:rPr>
              <w:t>, committees serve to assist people to engage in self-advocacy but also address systemic issues with service providers (</w:t>
            </w:r>
            <w:r w:rsidR="00C60DDF" w:rsidRPr="00E3754A">
              <w:rPr>
                <w:lang w:val="en-AU"/>
              </w:rPr>
              <w:t>Carney, 2013</w:t>
            </w:r>
            <w:r w:rsidRPr="00E3754A">
              <w:rPr>
                <w:lang w:val="en-AU"/>
              </w:rPr>
              <w:t>).</w:t>
            </w:r>
          </w:p>
        </w:tc>
      </w:tr>
    </w:tbl>
    <w:p w14:paraId="4E464F8C" w14:textId="56574B30" w:rsidR="00125283" w:rsidRPr="00E3754A" w:rsidRDefault="00317C56" w:rsidP="00AD0BE0">
      <w:pPr>
        <w:pStyle w:val="Heading5"/>
        <w:rPr>
          <w:lang w:val="en-AU"/>
        </w:rPr>
      </w:pPr>
      <w:r w:rsidRPr="00E3754A">
        <w:rPr>
          <w:lang w:val="en-AU"/>
        </w:rPr>
        <w:t>Informal support networks</w:t>
      </w:r>
    </w:p>
    <w:p w14:paraId="6C3E0117" w14:textId="12DA6AA5" w:rsidR="00280828" w:rsidRPr="00E3754A" w:rsidRDefault="004B3E8D" w:rsidP="00280828">
      <w:pPr>
        <w:pStyle w:val="NoSpacing"/>
        <w:rPr>
          <w:lang w:val="en-AU"/>
        </w:rPr>
      </w:pPr>
      <w:r w:rsidRPr="00E3754A">
        <w:rPr>
          <w:lang w:val="en-AU"/>
        </w:rPr>
        <w:t>Support</w:t>
      </w:r>
      <w:r w:rsidR="00A34169">
        <w:rPr>
          <w:lang w:val="en-AU"/>
        </w:rPr>
        <w:t xml:space="preserve">ed </w:t>
      </w:r>
      <w:r w:rsidRPr="00E3754A">
        <w:rPr>
          <w:lang w:val="en-AU"/>
        </w:rPr>
        <w:t>decision-making is often discussed in the literature as primarily being utili</w:t>
      </w:r>
      <w:r w:rsidR="00223545" w:rsidRPr="00E3754A">
        <w:rPr>
          <w:lang w:val="en-AU"/>
        </w:rPr>
        <w:t>s</w:t>
      </w:r>
      <w:r w:rsidRPr="00E3754A">
        <w:rPr>
          <w:lang w:val="en-AU"/>
        </w:rPr>
        <w:t xml:space="preserve">ed in formal healthcare and finance settings but supported decision-making is also significant to all people and all aspects of life (see Allen &amp; Tulich, 2015; Chan et al., 2012; Flynn, 2010; Smaill, 2016; Darvell, 2016). The literature argues that informal and everyday support is significant and meaningful for disabled people </w:t>
      </w:r>
      <w:r w:rsidR="00C50D66" w:rsidRPr="00E3754A">
        <w:rPr>
          <w:lang w:val="en-AU"/>
        </w:rPr>
        <w:t xml:space="preserve">in their </w:t>
      </w:r>
      <w:r w:rsidRPr="00E3754A">
        <w:rPr>
          <w:lang w:val="en-AU"/>
        </w:rPr>
        <w:t>expression</w:t>
      </w:r>
      <w:r w:rsidR="00C50D66" w:rsidRPr="00E3754A">
        <w:rPr>
          <w:lang w:val="en-AU"/>
        </w:rPr>
        <w:t>s</w:t>
      </w:r>
      <w:r w:rsidRPr="00E3754A">
        <w:rPr>
          <w:lang w:val="en-AU"/>
        </w:rPr>
        <w:t xml:space="preserve"> of agency </w:t>
      </w:r>
      <w:r w:rsidR="00C50D66" w:rsidRPr="00E3754A">
        <w:rPr>
          <w:lang w:val="en-AU"/>
        </w:rPr>
        <w:t xml:space="preserve">throughout their lives </w:t>
      </w:r>
      <w:r w:rsidRPr="00E3754A">
        <w:rPr>
          <w:lang w:val="en-AU"/>
        </w:rPr>
        <w:t>(see Burgen, 2016</w:t>
      </w:r>
      <w:r w:rsidR="00C50D66" w:rsidRPr="00E3754A">
        <w:rPr>
          <w:lang w:val="en-AU"/>
        </w:rPr>
        <w:t>;</w:t>
      </w:r>
      <w:r w:rsidR="00B92C61" w:rsidRPr="00E3754A">
        <w:rPr>
          <w:lang w:val="en-AU"/>
        </w:rPr>
        <w:t xml:space="preserve"> </w:t>
      </w:r>
      <w:r w:rsidR="00C60DDF" w:rsidRPr="00E3754A">
        <w:rPr>
          <w:lang w:val="en-AU"/>
        </w:rPr>
        <w:t>Carney, 2013</w:t>
      </w:r>
      <w:r w:rsidR="00C50D66" w:rsidRPr="00E3754A">
        <w:rPr>
          <w:lang w:val="en-AU"/>
        </w:rPr>
        <w:t xml:space="preserve"> Stainton, 2015; Tracy, 2015</w:t>
      </w:r>
      <w:r w:rsidRPr="00E3754A">
        <w:rPr>
          <w:lang w:val="en-AU"/>
        </w:rPr>
        <w:t>).</w:t>
      </w:r>
      <w:r w:rsidR="002D7ED5" w:rsidRPr="00E3754A">
        <w:rPr>
          <w:lang w:val="en-AU"/>
        </w:rPr>
        <w:t xml:space="preserve"> </w:t>
      </w:r>
      <w:r w:rsidR="00280828" w:rsidRPr="00E3754A">
        <w:rPr>
          <w:lang w:val="en-AU"/>
        </w:rPr>
        <w:t xml:space="preserve">Similar to </w:t>
      </w:r>
      <w:r w:rsidR="0022488A" w:rsidRPr="00E3754A">
        <w:rPr>
          <w:lang w:val="en-AU"/>
        </w:rPr>
        <w:t xml:space="preserve">the formal </w:t>
      </w:r>
      <w:r w:rsidR="002C09F0" w:rsidRPr="00E3754A">
        <w:rPr>
          <w:lang w:val="en-AU"/>
        </w:rPr>
        <w:t>initiatives</w:t>
      </w:r>
      <w:r w:rsidR="0022488A" w:rsidRPr="00E3754A">
        <w:rPr>
          <w:lang w:val="en-AU"/>
        </w:rPr>
        <w:t xml:space="preserve"> outlined above</w:t>
      </w:r>
      <w:r w:rsidR="00280828" w:rsidRPr="00E3754A">
        <w:rPr>
          <w:lang w:val="en-AU"/>
        </w:rPr>
        <w:t>,</w:t>
      </w:r>
      <w:r w:rsidR="002D7ED5" w:rsidRPr="00E3754A">
        <w:rPr>
          <w:lang w:val="en-AU"/>
        </w:rPr>
        <w:t xml:space="preserve"> the literature suggests that</w:t>
      </w:r>
      <w:r w:rsidR="00280828" w:rsidRPr="00E3754A">
        <w:rPr>
          <w:lang w:val="en-AU"/>
        </w:rPr>
        <w:t xml:space="preserve"> family, peer groups, support networks, and others who are close to the </w:t>
      </w:r>
      <w:r w:rsidR="002C5EA2" w:rsidRPr="00E3754A">
        <w:rPr>
          <w:lang w:val="en-AU"/>
        </w:rPr>
        <w:t>disabled person</w:t>
      </w:r>
      <w:r w:rsidR="00280828" w:rsidRPr="00E3754A">
        <w:rPr>
          <w:lang w:val="en-AU"/>
        </w:rPr>
        <w:t xml:space="preserve"> can provide </w:t>
      </w:r>
      <w:r w:rsidR="002D7ED5" w:rsidRPr="00E3754A">
        <w:rPr>
          <w:lang w:val="en-AU"/>
        </w:rPr>
        <w:t xml:space="preserve">informal </w:t>
      </w:r>
      <w:r w:rsidR="00280828" w:rsidRPr="00E3754A">
        <w:rPr>
          <w:lang w:val="en-AU"/>
        </w:rPr>
        <w:t>support by explai</w:t>
      </w:r>
      <w:r w:rsidR="0022488A" w:rsidRPr="00E3754A">
        <w:rPr>
          <w:lang w:val="en-AU"/>
        </w:rPr>
        <w:t xml:space="preserve">ning information to the person and by assisting </w:t>
      </w:r>
      <w:r w:rsidR="00280828" w:rsidRPr="00E3754A">
        <w:rPr>
          <w:lang w:val="en-AU"/>
        </w:rPr>
        <w:t xml:space="preserve">the </w:t>
      </w:r>
      <w:r w:rsidR="002C5EA2" w:rsidRPr="00E3754A">
        <w:rPr>
          <w:lang w:val="en-AU"/>
        </w:rPr>
        <w:t>disabled person</w:t>
      </w:r>
      <w:r w:rsidR="00280828" w:rsidRPr="00E3754A">
        <w:rPr>
          <w:lang w:val="en-AU"/>
        </w:rPr>
        <w:t xml:space="preserve"> express their interests to others, especially</w:t>
      </w:r>
      <w:r w:rsidR="0022488A" w:rsidRPr="00E3754A">
        <w:rPr>
          <w:lang w:val="en-AU"/>
        </w:rPr>
        <w:t xml:space="preserve"> to</w:t>
      </w:r>
      <w:r w:rsidR="00280828" w:rsidRPr="00E3754A">
        <w:rPr>
          <w:lang w:val="en-AU"/>
        </w:rPr>
        <w:t xml:space="preserve"> those in positions of authority (</w:t>
      </w:r>
      <w:r w:rsidR="00C60DDF" w:rsidRPr="00E3754A">
        <w:rPr>
          <w:lang w:val="en-AU"/>
        </w:rPr>
        <w:t>Carney &amp; Beaupert, 2013</w:t>
      </w:r>
      <w:r w:rsidR="00280828" w:rsidRPr="00E3754A">
        <w:rPr>
          <w:lang w:val="en-AU"/>
        </w:rPr>
        <w:t>; Devi et al., 2011; Gooding, 2015).</w:t>
      </w:r>
    </w:p>
    <w:p w14:paraId="672AC70D" w14:textId="7895CDA7" w:rsidR="00280828" w:rsidRPr="00E3754A" w:rsidRDefault="00800FE8" w:rsidP="00280828">
      <w:pPr>
        <w:pStyle w:val="NoSpacing"/>
        <w:rPr>
          <w:lang w:val="en-AU"/>
        </w:rPr>
      </w:pPr>
      <w:r w:rsidRPr="00E3754A">
        <w:rPr>
          <w:lang w:val="en-AU"/>
        </w:rPr>
        <w:t xml:space="preserve">Watson (2013a) emphasised that informal </w:t>
      </w:r>
      <w:r w:rsidR="002C09F0" w:rsidRPr="00E3754A">
        <w:rPr>
          <w:lang w:val="en-AU"/>
        </w:rPr>
        <w:t>supporters</w:t>
      </w:r>
      <w:r w:rsidRPr="00E3754A">
        <w:rPr>
          <w:lang w:val="en-AU"/>
        </w:rPr>
        <w:t xml:space="preserve"> must be:</w:t>
      </w:r>
    </w:p>
    <w:p w14:paraId="6F231D41" w14:textId="42BFB119" w:rsidR="00280828" w:rsidRPr="00E3754A" w:rsidRDefault="00280828" w:rsidP="007E51DB">
      <w:pPr>
        <w:pStyle w:val="NoSpacing"/>
        <w:numPr>
          <w:ilvl w:val="0"/>
          <w:numId w:val="4"/>
        </w:numPr>
        <w:rPr>
          <w:lang w:val="en-AU"/>
        </w:rPr>
      </w:pPr>
      <w:r w:rsidRPr="00E3754A">
        <w:rPr>
          <w:lang w:val="en-AU"/>
        </w:rPr>
        <w:t xml:space="preserve">Able to see things from the perspective of the </w:t>
      </w:r>
      <w:r w:rsidR="002C5EA2" w:rsidRPr="00E3754A">
        <w:rPr>
          <w:lang w:val="en-AU"/>
        </w:rPr>
        <w:t>disabled person</w:t>
      </w:r>
      <w:r w:rsidR="00800FE8" w:rsidRPr="00E3754A">
        <w:rPr>
          <w:lang w:val="en-AU"/>
        </w:rPr>
        <w:t>, and;</w:t>
      </w:r>
    </w:p>
    <w:p w14:paraId="31263728" w14:textId="2DF6E181" w:rsidR="00280828" w:rsidRPr="00E3754A" w:rsidRDefault="00280828" w:rsidP="007E51DB">
      <w:pPr>
        <w:pStyle w:val="NoSpacing"/>
        <w:numPr>
          <w:ilvl w:val="0"/>
          <w:numId w:val="4"/>
        </w:numPr>
        <w:rPr>
          <w:lang w:val="en-AU"/>
        </w:rPr>
      </w:pPr>
      <w:r w:rsidRPr="00E3754A">
        <w:rPr>
          <w:lang w:val="en-AU"/>
        </w:rPr>
        <w:t xml:space="preserve">Familiar with the </w:t>
      </w:r>
      <w:r w:rsidR="002C5EA2" w:rsidRPr="00E3754A">
        <w:rPr>
          <w:lang w:val="en-AU"/>
        </w:rPr>
        <w:t>disabled person</w:t>
      </w:r>
      <w:r w:rsidRPr="00E3754A">
        <w:rPr>
          <w:lang w:val="en-AU"/>
        </w:rPr>
        <w:t>’s expressions of agency and communicative method.</w:t>
      </w:r>
    </w:p>
    <w:p w14:paraId="12A2C091" w14:textId="34485D24" w:rsidR="00280828" w:rsidRPr="00E3754A" w:rsidRDefault="00280828" w:rsidP="00280828">
      <w:pPr>
        <w:pStyle w:val="NoSpacing"/>
        <w:rPr>
          <w:lang w:val="en-AU"/>
        </w:rPr>
      </w:pPr>
      <w:r w:rsidRPr="00E3754A">
        <w:rPr>
          <w:lang w:val="en-AU"/>
        </w:rPr>
        <w:t xml:space="preserve">For example, family and close friends can support </w:t>
      </w:r>
      <w:r w:rsidR="002D7ED5" w:rsidRPr="00E3754A">
        <w:rPr>
          <w:lang w:val="en-AU"/>
        </w:rPr>
        <w:t xml:space="preserve">a </w:t>
      </w:r>
      <w:r w:rsidR="002C5EA2" w:rsidRPr="00E3754A">
        <w:rPr>
          <w:lang w:val="en-AU"/>
        </w:rPr>
        <w:t xml:space="preserve">disabled </w:t>
      </w:r>
      <w:r w:rsidR="002D7ED5" w:rsidRPr="00E3754A">
        <w:rPr>
          <w:lang w:val="en-AU"/>
        </w:rPr>
        <w:t xml:space="preserve">person’s </w:t>
      </w:r>
      <w:r w:rsidRPr="00E3754A">
        <w:rPr>
          <w:lang w:val="en-AU"/>
        </w:rPr>
        <w:t>financial decision-making by helping with more technical aspects of navigating money and banking, such as setting up automatic payments and pin numbers (Enabling Good Lives, n.d.).</w:t>
      </w:r>
      <w:r w:rsidR="00CE22E0" w:rsidRPr="00E3754A">
        <w:rPr>
          <w:lang w:val="en-AU"/>
        </w:rPr>
        <w:t xml:space="preserve"> Gooding (2015)</w:t>
      </w:r>
      <w:r w:rsidR="00FD72D2" w:rsidRPr="00E3754A">
        <w:rPr>
          <w:lang w:val="en-AU"/>
        </w:rPr>
        <w:t>, however,</w:t>
      </w:r>
      <w:r w:rsidR="00CE22E0" w:rsidRPr="00E3754A">
        <w:rPr>
          <w:lang w:val="en-AU"/>
        </w:rPr>
        <w:t xml:space="preserve"> makes an important note that family and peers should not replace state</w:t>
      </w:r>
      <w:r w:rsidR="00331F1F" w:rsidRPr="00E3754A">
        <w:rPr>
          <w:lang w:val="en-AU"/>
        </w:rPr>
        <w:t>s partie</w:t>
      </w:r>
      <w:r w:rsidR="00CE22E0" w:rsidRPr="00E3754A">
        <w:rPr>
          <w:lang w:val="en-AU"/>
        </w:rPr>
        <w:t>s</w:t>
      </w:r>
      <w:r w:rsidR="00331F1F" w:rsidRPr="00E3754A">
        <w:rPr>
          <w:lang w:val="en-AU"/>
        </w:rPr>
        <w:t>’</w:t>
      </w:r>
      <w:r w:rsidR="00CE22E0" w:rsidRPr="00E3754A">
        <w:rPr>
          <w:lang w:val="en-AU"/>
        </w:rPr>
        <w:t xml:space="preserve"> efforts to provide support to disabled people.</w:t>
      </w:r>
    </w:p>
    <w:p w14:paraId="12EFE4B6" w14:textId="5729F9AE" w:rsidR="00B910F8" w:rsidRPr="00E3754A" w:rsidRDefault="005A3EED" w:rsidP="00B910F8">
      <w:pPr>
        <w:pStyle w:val="NoSpacing"/>
        <w:rPr>
          <w:lang w:val="en-AU"/>
        </w:rPr>
      </w:pPr>
      <w:r w:rsidRPr="00E3754A">
        <w:rPr>
          <w:lang w:val="en-AU"/>
        </w:rPr>
        <w:t>Circles of support is a longstanding approach to supporting disabled people, which has regained currency in the new era of the Convention and particul</w:t>
      </w:r>
      <w:r w:rsidR="00CE22E0" w:rsidRPr="00E3754A">
        <w:rPr>
          <w:lang w:val="en-AU"/>
        </w:rPr>
        <w:t>arly in relation to Article 12</w:t>
      </w:r>
      <w:r w:rsidR="00B910F8" w:rsidRPr="00E3754A">
        <w:rPr>
          <w:lang w:val="en-AU"/>
        </w:rPr>
        <w:t xml:space="preserve">. A ‘circle of support’ refers to an arrangement whereby multiple </w:t>
      </w:r>
      <w:r w:rsidR="002D7ED5" w:rsidRPr="00E3754A">
        <w:rPr>
          <w:lang w:val="en-AU"/>
        </w:rPr>
        <w:t xml:space="preserve">people </w:t>
      </w:r>
      <w:r w:rsidR="00145D5C" w:rsidRPr="00E3754A">
        <w:rPr>
          <w:lang w:val="en-AU"/>
        </w:rPr>
        <w:t>work together to form a circle of support in which they work collaboratively to optimi</w:t>
      </w:r>
      <w:r w:rsidR="00331F1F" w:rsidRPr="00E3754A">
        <w:rPr>
          <w:lang w:val="en-AU"/>
        </w:rPr>
        <w:t>s</w:t>
      </w:r>
      <w:r w:rsidR="00145D5C" w:rsidRPr="00E3754A">
        <w:rPr>
          <w:lang w:val="en-AU"/>
        </w:rPr>
        <w:t>e the decision-making process of a disabled person</w:t>
      </w:r>
      <w:r w:rsidR="00145D5C" w:rsidRPr="00E3754A" w:rsidDel="00145D5C">
        <w:rPr>
          <w:lang w:val="en-AU"/>
        </w:rPr>
        <w:t xml:space="preserve"> </w:t>
      </w:r>
      <w:r w:rsidR="00B910F8" w:rsidRPr="00E3754A">
        <w:rPr>
          <w:lang w:val="en-AU"/>
        </w:rPr>
        <w:t>(Devi, 2013; Watson, 2016a; Werner &amp; Chabany, 2015)</w:t>
      </w:r>
      <w:r w:rsidR="009804E9" w:rsidRPr="00E3754A">
        <w:rPr>
          <w:lang w:val="en-AU"/>
        </w:rPr>
        <w:t xml:space="preserve">. </w:t>
      </w:r>
      <w:r w:rsidR="00B910F8" w:rsidRPr="00E3754A">
        <w:rPr>
          <w:lang w:val="en-AU"/>
        </w:rPr>
        <w:t xml:space="preserve">Those who are close to the </w:t>
      </w:r>
      <w:r w:rsidR="002C5EA2" w:rsidRPr="00E3754A">
        <w:rPr>
          <w:lang w:val="en-AU"/>
        </w:rPr>
        <w:t>disabled person</w:t>
      </w:r>
      <w:r w:rsidR="00145D5C" w:rsidRPr="00E3754A">
        <w:rPr>
          <w:lang w:val="en-AU"/>
        </w:rPr>
        <w:t xml:space="preserve"> (family and friends)</w:t>
      </w:r>
      <w:r w:rsidR="00B910F8" w:rsidRPr="00E3754A">
        <w:rPr>
          <w:lang w:val="en-AU"/>
        </w:rPr>
        <w:t xml:space="preserve"> can </w:t>
      </w:r>
      <w:r w:rsidR="00145D5C" w:rsidRPr="00E3754A">
        <w:rPr>
          <w:lang w:val="en-AU"/>
        </w:rPr>
        <w:t>form a circle of support</w:t>
      </w:r>
      <w:r w:rsidR="00B910F8" w:rsidRPr="00E3754A">
        <w:rPr>
          <w:lang w:val="en-AU"/>
        </w:rPr>
        <w:t xml:space="preserve"> (</w:t>
      </w:r>
      <w:r w:rsidR="00C60DDF" w:rsidRPr="00E3754A">
        <w:rPr>
          <w:lang w:val="en-AU"/>
        </w:rPr>
        <w:t>Carney, 2013</w:t>
      </w:r>
      <w:r w:rsidR="003F3518" w:rsidRPr="00E3754A">
        <w:rPr>
          <w:lang w:val="en-AU"/>
        </w:rPr>
        <w:t xml:space="preserve">; </w:t>
      </w:r>
      <w:r w:rsidR="00B910F8" w:rsidRPr="00E3754A">
        <w:rPr>
          <w:lang w:val="en-AU"/>
        </w:rPr>
        <w:t xml:space="preserve">Watson </w:t>
      </w:r>
      <w:r w:rsidR="003F3518" w:rsidRPr="00E3754A">
        <w:rPr>
          <w:lang w:val="en-AU"/>
        </w:rPr>
        <w:t>2013</w:t>
      </w:r>
      <w:r w:rsidR="00B910F8" w:rsidRPr="00E3754A">
        <w:rPr>
          <w:lang w:val="en-AU"/>
        </w:rPr>
        <w:t>; Watson, 2016a</w:t>
      </w:r>
      <w:r w:rsidR="00400820" w:rsidRPr="00E3754A">
        <w:rPr>
          <w:lang w:val="en-AU"/>
        </w:rPr>
        <w:t>; refer to Additional Resources for guides and manuals relating to circles of support</w:t>
      </w:r>
      <w:r w:rsidR="00B910F8" w:rsidRPr="00E3754A">
        <w:rPr>
          <w:lang w:val="en-AU"/>
        </w:rPr>
        <w:t>). A formal form of this type of support is where it is a legally recognised organisation of people, such as a microboard (Watson, 2016a). Circles of support have been developed in Canada and Aus</w:t>
      </w:r>
      <w:r w:rsidR="00384AF7" w:rsidRPr="00E3754A">
        <w:rPr>
          <w:lang w:val="en-AU"/>
        </w:rPr>
        <w:t>tralia t</w:t>
      </w:r>
      <w:r w:rsidR="00CE22E0" w:rsidRPr="00E3754A">
        <w:rPr>
          <w:lang w:val="en-AU"/>
        </w:rPr>
        <w:t>o support di</w:t>
      </w:r>
      <w:r w:rsidR="00384AF7" w:rsidRPr="00E3754A">
        <w:rPr>
          <w:lang w:val="en-AU"/>
        </w:rPr>
        <w:t>sabled people to make decisions</w:t>
      </w:r>
      <w:r w:rsidR="00B40804" w:rsidRPr="00E3754A">
        <w:rPr>
          <w:lang w:val="en-AU"/>
        </w:rPr>
        <w:t xml:space="preserve"> (see Werner &amp; Chabany, 2015)</w:t>
      </w:r>
      <w:r w:rsidR="00384AF7" w:rsidRPr="00E3754A">
        <w:rPr>
          <w:lang w:val="en-AU"/>
        </w:rPr>
        <w:t>.</w:t>
      </w:r>
    </w:p>
    <w:tbl>
      <w:tblPr>
        <w:tblStyle w:val="Style1"/>
        <w:tblW w:w="5000" w:type="pct"/>
        <w:tblLook w:val="04A0" w:firstRow="1" w:lastRow="0" w:firstColumn="1" w:lastColumn="0" w:noHBand="0" w:noVBand="1"/>
      </w:tblPr>
      <w:tblGrid>
        <w:gridCol w:w="9236"/>
      </w:tblGrid>
      <w:tr w:rsidR="00B910F8" w:rsidRPr="00E3754A" w14:paraId="002FD0A8" w14:textId="77777777" w:rsidTr="00763F94">
        <w:tc>
          <w:tcPr>
            <w:tcW w:w="5000" w:type="pct"/>
          </w:tcPr>
          <w:p w14:paraId="1825E0DA" w14:textId="7A601E72" w:rsidR="00B910F8" w:rsidRPr="00E3754A" w:rsidRDefault="00B910F8" w:rsidP="00B910F8">
            <w:pPr>
              <w:pStyle w:val="NoSpacing"/>
              <w:rPr>
                <w:lang w:val="en-AU"/>
              </w:rPr>
            </w:pPr>
            <w:r w:rsidRPr="00E3754A">
              <w:rPr>
                <w:lang w:val="en-AU"/>
              </w:rPr>
              <w:t xml:space="preserve">Circles Network, </w:t>
            </w:r>
            <w:r w:rsidRPr="00E3754A">
              <w:rPr>
                <w:rStyle w:val="Emphasis"/>
                <w:lang w:val="en-AU"/>
              </w:rPr>
              <w:t>UK,</w:t>
            </w:r>
            <w:r w:rsidRPr="00E3754A">
              <w:rPr>
                <w:lang w:val="en-AU"/>
              </w:rPr>
              <w:t xml:space="preserve"> has been implementing circles of support, where people meet on a regular basis to provide support to a </w:t>
            </w:r>
            <w:r w:rsidR="002C5EA2" w:rsidRPr="00E3754A">
              <w:rPr>
                <w:lang w:val="en-AU"/>
              </w:rPr>
              <w:t>disabled person</w:t>
            </w:r>
            <w:r w:rsidRPr="00E3754A">
              <w:rPr>
                <w:lang w:val="en-AU"/>
              </w:rPr>
              <w:t xml:space="preserve"> (Mental Disability Advocacy Center, n.d.). There is a ‘focus person’ directing the support provided and facilitating the provision of support. The Circles Network is a voluntary organisation.</w:t>
            </w:r>
          </w:p>
        </w:tc>
      </w:tr>
      <w:tr w:rsidR="00DA07F0" w:rsidRPr="00E3754A" w14:paraId="13763F16" w14:textId="77777777" w:rsidTr="00DA07F0">
        <w:tc>
          <w:tcPr>
            <w:tcW w:w="5000" w:type="pct"/>
          </w:tcPr>
          <w:p w14:paraId="59B1C242" w14:textId="005C6C9E" w:rsidR="00DA07F0" w:rsidRPr="00E3754A" w:rsidRDefault="00DA07F0" w:rsidP="00AA27C7">
            <w:pPr>
              <w:pStyle w:val="NoSpacing"/>
              <w:rPr>
                <w:lang w:val="en-AU"/>
              </w:rPr>
            </w:pPr>
            <w:r w:rsidRPr="00E3754A">
              <w:rPr>
                <w:rStyle w:val="Emphasis"/>
                <w:lang w:val="en-AU"/>
              </w:rPr>
              <w:t>British Columbia, Canada,</w:t>
            </w:r>
            <w:r w:rsidRPr="00E3754A">
              <w:rPr>
                <w:lang w:val="en-AU"/>
              </w:rPr>
              <w:t xml:space="preserve"> has been implementing the Microboard model since the 1990s</w:t>
            </w:r>
            <w:r w:rsidR="00547D57" w:rsidRPr="00E3754A">
              <w:rPr>
                <w:lang w:val="en-AU"/>
              </w:rPr>
              <w:t xml:space="preserve"> (Stainton, 2015)</w:t>
            </w:r>
            <w:r w:rsidRPr="00E3754A">
              <w:rPr>
                <w:lang w:val="en-AU"/>
              </w:rPr>
              <w:t>. In this initiative a small group of at least five people (who are close to the disabled person) set up a Board that supports decision-making, advocates, and connects the disabled person to their community (Stainton, 2015). It is very similar to a circle of support but is a formally and legally recognised organisation (Watson, 2016a). The disabled person retains their capacity (Stainton, 2015). This particular model has been criticised for focusing too much on funding and managing and not enough on providing advice to support the disabled person (Nunnelley, 2015).</w:t>
            </w:r>
          </w:p>
        </w:tc>
      </w:tr>
      <w:tr w:rsidR="00DA07F0" w:rsidRPr="00E3754A" w14:paraId="474F08C3" w14:textId="77777777" w:rsidTr="00DA07F0">
        <w:tc>
          <w:tcPr>
            <w:tcW w:w="5000" w:type="pct"/>
          </w:tcPr>
          <w:p w14:paraId="777E6754" w14:textId="74BFAC28" w:rsidR="00DA07F0" w:rsidRPr="00E3754A" w:rsidRDefault="00DA07F0" w:rsidP="000B5CBA">
            <w:pPr>
              <w:pStyle w:val="NoSpacing"/>
              <w:rPr>
                <w:lang w:val="en-AU"/>
              </w:rPr>
            </w:pPr>
            <w:r w:rsidRPr="00E3754A">
              <w:rPr>
                <w:rStyle w:val="Emphasis"/>
                <w:lang w:val="en-AU"/>
              </w:rPr>
              <w:t>Alberta, Canada,</w:t>
            </w:r>
            <w:r w:rsidRPr="00E3754A">
              <w:rPr>
                <w:lang w:val="en-AU"/>
              </w:rPr>
              <w:t xml:space="preserve"> has implemented a co-decision-making scheme, in which the disabled person and their supporter collaborate to arrive at decisions but the disabled person retains legal capacity and participation in decision-making (Pathare &amp; Shields, 2012). Co-decision-making arrangements are available through the court</w:t>
            </w:r>
            <w:r w:rsidR="00FD2013" w:rsidRPr="00E3754A">
              <w:rPr>
                <w:lang w:val="en-AU"/>
              </w:rPr>
              <w:t xml:space="preserve">, proceeding </w:t>
            </w:r>
            <w:r w:rsidRPr="00E3754A">
              <w:rPr>
                <w:lang w:val="en-AU"/>
              </w:rPr>
              <w:t xml:space="preserve">on the consent of the supported person (Victorian Law Reform Commission, 2012). A co-decision-maker cannot make decisions on behalf of the patient but </w:t>
            </w:r>
            <w:r w:rsidR="000B5CBA">
              <w:rPr>
                <w:lang w:val="en-AU"/>
              </w:rPr>
              <w:t>the scheme</w:t>
            </w:r>
            <w:r w:rsidR="000B5CBA" w:rsidRPr="00E3754A">
              <w:rPr>
                <w:lang w:val="en-AU"/>
              </w:rPr>
              <w:t xml:space="preserve"> </w:t>
            </w:r>
            <w:r w:rsidRPr="00E3754A">
              <w:rPr>
                <w:lang w:val="en-AU"/>
              </w:rPr>
              <w:t>formally recognises the authority of a person to help make decisions with a disabled person. Usually a family member or close friend occupies the role of co-decision-maker. Currently, the co-decision-making scope does not include financial decisions (Government of Alberta, 2010).</w:t>
            </w:r>
          </w:p>
        </w:tc>
      </w:tr>
    </w:tbl>
    <w:p w14:paraId="1A681D71" w14:textId="7C85175C" w:rsidR="00E60C61" w:rsidRPr="00E3754A" w:rsidRDefault="008D3E8A" w:rsidP="00AD0BE0">
      <w:pPr>
        <w:pStyle w:val="Heading5"/>
        <w:rPr>
          <w:lang w:val="en-AU"/>
        </w:rPr>
      </w:pPr>
      <w:r w:rsidRPr="00E3754A">
        <w:rPr>
          <w:lang w:val="en-AU"/>
        </w:rPr>
        <w:t>Systemic and organisation level support for decision-making</w:t>
      </w:r>
    </w:p>
    <w:p w14:paraId="5877B23F" w14:textId="783C74AA" w:rsidR="00841435" w:rsidRPr="00E3754A" w:rsidRDefault="00841435" w:rsidP="00841435">
      <w:pPr>
        <w:pStyle w:val="NoSpacing"/>
        <w:rPr>
          <w:lang w:val="en-AU"/>
        </w:rPr>
      </w:pPr>
      <w:r w:rsidRPr="00E3754A">
        <w:rPr>
          <w:lang w:val="en-AU"/>
        </w:rPr>
        <w:t xml:space="preserve">Organisations and state services </w:t>
      </w:r>
      <w:r w:rsidR="00BA3663" w:rsidRPr="00E3754A">
        <w:rPr>
          <w:lang w:val="en-AU"/>
        </w:rPr>
        <w:t>have been identified as being able to support decision-making by providing</w:t>
      </w:r>
      <w:r w:rsidRPr="00E3754A">
        <w:rPr>
          <w:lang w:val="en-AU"/>
        </w:rPr>
        <w:t xml:space="preserve"> resources in accessible formats about planning (advanced care planning and financial planning), decision-making, mechanisms through which </w:t>
      </w:r>
      <w:r w:rsidR="002C5EA2" w:rsidRPr="00E3754A">
        <w:rPr>
          <w:lang w:val="en-AU"/>
        </w:rPr>
        <w:t>disabled person</w:t>
      </w:r>
      <w:r w:rsidRPr="00E3754A">
        <w:rPr>
          <w:lang w:val="en-AU"/>
        </w:rPr>
        <w:t xml:space="preserve">s can communicate, such as templates for communication passports (see </w:t>
      </w:r>
      <w:r w:rsidR="00C60DDF" w:rsidRPr="00E3754A">
        <w:rPr>
          <w:lang w:val="en-AU"/>
        </w:rPr>
        <w:t>Carney &amp; Beaupert, 2013</w:t>
      </w:r>
      <w:r w:rsidRPr="00E3754A">
        <w:rPr>
          <w:lang w:val="en-AU"/>
        </w:rPr>
        <w:t xml:space="preserve">; Keeling, 2016). To </w:t>
      </w:r>
      <w:r w:rsidR="006631A7" w:rsidRPr="00E3754A">
        <w:rPr>
          <w:lang w:val="en-AU"/>
        </w:rPr>
        <w:t>ensure that</w:t>
      </w:r>
      <w:r w:rsidRPr="00E3754A">
        <w:rPr>
          <w:lang w:val="en-AU"/>
        </w:rPr>
        <w:t xml:space="preserve"> content </w:t>
      </w:r>
      <w:r w:rsidR="006631A7" w:rsidRPr="00E3754A">
        <w:rPr>
          <w:lang w:val="en-AU"/>
        </w:rPr>
        <w:t>is</w:t>
      </w:r>
      <w:r w:rsidRPr="00E3754A">
        <w:rPr>
          <w:lang w:val="en-AU"/>
        </w:rPr>
        <w:t xml:space="preserve"> accessible, resources </w:t>
      </w:r>
      <w:r w:rsidR="006631A7" w:rsidRPr="00E3754A">
        <w:rPr>
          <w:lang w:val="en-AU"/>
        </w:rPr>
        <w:t xml:space="preserve">need to be presented in diverse ways using for example, </w:t>
      </w:r>
      <w:r w:rsidRPr="00E3754A">
        <w:rPr>
          <w:lang w:val="en-AU"/>
        </w:rPr>
        <w:t xml:space="preserve">pictures, signs, braille, and Makaton symbols (Keeling, 2016). Organisations and state services </w:t>
      </w:r>
      <w:r w:rsidR="006631A7" w:rsidRPr="00E3754A">
        <w:rPr>
          <w:lang w:val="en-AU"/>
        </w:rPr>
        <w:t>are required</w:t>
      </w:r>
      <w:r w:rsidRPr="00E3754A">
        <w:rPr>
          <w:lang w:val="en-AU"/>
        </w:rPr>
        <w:t xml:space="preserve"> to respect </w:t>
      </w:r>
      <w:r w:rsidR="002C5EA2" w:rsidRPr="00E3754A">
        <w:rPr>
          <w:lang w:val="en-AU"/>
        </w:rPr>
        <w:t>disabled person</w:t>
      </w:r>
      <w:r w:rsidRPr="00E3754A">
        <w:rPr>
          <w:lang w:val="en-AU"/>
        </w:rPr>
        <w:t>s’ personal communicative methods and off</w:t>
      </w:r>
      <w:r w:rsidR="006631A7" w:rsidRPr="00E3754A">
        <w:rPr>
          <w:lang w:val="en-AU"/>
        </w:rPr>
        <w:t>er the support they may require for full participation, including</w:t>
      </w:r>
      <w:r w:rsidRPr="00E3754A">
        <w:rPr>
          <w:lang w:val="en-AU"/>
        </w:rPr>
        <w:t xml:space="preserve"> for e</w:t>
      </w:r>
      <w:r w:rsidR="004F3D15" w:rsidRPr="00E3754A">
        <w:rPr>
          <w:lang w:val="en-AU"/>
        </w:rPr>
        <w:t>xample when they give evidence</w:t>
      </w:r>
      <w:r w:rsidR="00FB5B65" w:rsidRPr="00E3754A">
        <w:rPr>
          <w:lang w:val="en-AU"/>
        </w:rPr>
        <w:t xml:space="preserve"> in legal settings</w:t>
      </w:r>
      <w:r w:rsidR="004F3D15" w:rsidRPr="00E3754A">
        <w:rPr>
          <w:lang w:val="en-AU"/>
        </w:rPr>
        <w:t xml:space="preserve"> </w:t>
      </w:r>
      <w:r w:rsidRPr="00E3754A">
        <w:rPr>
          <w:lang w:val="en-AU"/>
        </w:rPr>
        <w:t>(Wade, 2016).</w:t>
      </w:r>
      <w:r w:rsidR="00C170DE" w:rsidRPr="00E3754A">
        <w:rPr>
          <w:lang w:val="en-AU"/>
        </w:rPr>
        <w:t xml:space="preserve"> The necessity of </w:t>
      </w:r>
      <w:r w:rsidR="0096302B" w:rsidRPr="00E3754A">
        <w:rPr>
          <w:lang w:val="en-AU"/>
        </w:rPr>
        <w:t>these</w:t>
      </w:r>
      <w:r w:rsidR="00C170DE" w:rsidRPr="00E3754A">
        <w:rPr>
          <w:lang w:val="en-AU"/>
        </w:rPr>
        <w:t xml:space="preserve"> systemic and organisational change</w:t>
      </w:r>
      <w:r w:rsidR="0096302B" w:rsidRPr="00E3754A">
        <w:rPr>
          <w:lang w:val="en-AU"/>
        </w:rPr>
        <w:t>s</w:t>
      </w:r>
      <w:r w:rsidR="00C170DE" w:rsidRPr="00E3754A">
        <w:rPr>
          <w:lang w:val="en-AU"/>
        </w:rPr>
        <w:t xml:space="preserve"> in practice and policy will be </w:t>
      </w:r>
      <w:r w:rsidR="00BA7D86" w:rsidRPr="00BA7D86">
        <w:rPr>
          <w:lang w:val="en-AU"/>
        </w:rPr>
        <w:t>further</w:t>
      </w:r>
      <w:r w:rsidR="00C170DE" w:rsidRPr="00E3754A">
        <w:rPr>
          <w:lang w:val="en-AU"/>
        </w:rPr>
        <w:t xml:space="preserve"> examined in the later section on reasonable accommodation.</w:t>
      </w:r>
    </w:p>
    <w:p w14:paraId="3A80B4F1" w14:textId="2C6B8D79" w:rsidR="005E28A5" w:rsidRPr="00E3754A" w:rsidRDefault="00841435" w:rsidP="005E28A5">
      <w:pPr>
        <w:pStyle w:val="NoSpacing"/>
        <w:rPr>
          <w:lang w:val="en-AU"/>
        </w:rPr>
      </w:pPr>
      <w:r w:rsidRPr="00E3754A">
        <w:rPr>
          <w:lang w:val="en-AU"/>
        </w:rPr>
        <w:t xml:space="preserve">The Convention promotes </w:t>
      </w:r>
      <w:r w:rsidR="004F3D15" w:rsidRPr="00E3754A">
        <w:rPr>
          <w:lang w:val="en-AU"/>
        </w:rPr>
        <w:t>an increase in the resources and capacity available to</w:t>
      </w:r>
      <w:r w:rsidRPr="00E3754A">
        <w:rPr>
          <w:lang w:val="en-AU"/>
        </w:rPr>
        <w:t xml:space="preserve"> disabled persons</w:t>
      </w:r>
      <w:r w:rsidR="00D86544">
        <w:rPr>
          <w:lang w:val="en-AU"/>
        </w:rPr>
        <w:t>’</w:t>
      </w:r>
      <w:r w:rsidRPr="00E3754A">
        <w:rPr>
          <w:lang w:val="en-AU"/>
        </w:rPr>
        <w:t xml:space="preserve"> organisations so that they can </w:t>
      </w:r>
      <w:r w:rsidR="00884631" w:rsidRPr="00E3754A">
        <w:rPr>
          <w:lang w:val="en-AU"/>
        </w:rPr>
        <w:t>progress</w:t>
      </w:r>
      <w:r w:rsidRPr="00E3754A">
        <w:rPr>
          <w:lang w:val="en-AU"/>
        </w:rPr>
        <w:t xml:space="preserve"> more advanced advocacy initiatives and monitoring processes (Gooding, 2015). As is argued in Lang et al. (2011) and highlighted by DPOs in Scotland (SIAA, 2016), disabled persons</w:t>
      </w:r>
      <w:r w:rsidR="00D86544">
        <w:rPr>
          <w:lang w:val="en-AU"/>
        </w:rPr>
        <w:t>’</w:t>
      </w:r>
      <w:r w:rsidRPr="00E3754A">
        <w:rPr>
          <w:lang w:val="en-AU"/>
        </w:rPr>
        <w:t xml:space="preserve"> organisations are over</w:t>
      </w:r>
      <w:r w:rsidR="00D7209A" w:rsidRPr="00E3754A">
        <w:rPr>
          <w:lang w:val="en-AU"/>
        </w:rPr>
        <w:t>-</w:t>
      </w:r>
      <w:r w:rsidRPr="00E3754A">
        <w:rPr>
          <w:lang w:val="en-AU"/>
        </w:rPr>
        <w:t>worked and under</w:t>
      </w:r>
      <w:r w:rsidR="00D7209A" w:rsidRPr="00E3754A">
        <w:rPr>
          <w:lang w:val="en-AU"/>
        </w:rPr>
        <w:t>-</w:t>
      </w:r>
      <w:r w:rsidRPr="00E3754A">
        <w:rPr>
          <w:lang w:val="en-AU"/>
        </w:rPr>
        <w:t xml:space="preserve">resourced in addition to </w:t>
      </w:r>
      <w:r w:rsidR="00D7209A" w:rsidRPr="00E3754A">
        <w:rPr>
          <w:lang w:val="en-AU"/>
        </w:rPr>
        <w:t xml:space="preserve">often </w:t>
      </w:r>
      <w:r w:rsidRPr="00E3754A">
        <w:rPr>
          <w:lang w:val="en-AU"/>
        </w:rPr>
        <w:t>being excluded from key p</w:t>
      </w:r>
      <w:r w:rsidR="00EA0C1C" w:rsidRPr="00E3754A">
        <w:rPr>
          <w:lang w:val="en-AU"/>
        </w:rPr>
        <w:t>olicy decision-making processes</w:t>
      </w:r>
      <w:r w:rsidR="006A4596" w:rsidRPr="00E3754A">
        <w:rPr>
          <w:lang w:val="en-AU"/>
        </w:rPr>
        <w:t>.</w:t>
      </w:r>
    </w:p>
    <w:p w14:paraId="6873B8AD" w14:textId="53D5765E" w:rsidR="005E28A5" w:rsidRPr="00E3754A" w:rsidRDefault="008A7B94" w:rsidP="00AD0BE0">
      <w:pPr>
        <w:pStyle w:val="Heading5"/>
        <w:rPr>
          <w:lang w:val="en-AU"/>
        </w:rPr>
      </w:pPr>
      <w:r w:rsidRPr="00E3754A">
        <w:rPr>
          <w:lang w:val="en-AU"/>
        </w:rPr>
        <w:t>Self-advocacy</w:t>
      </w:r>
    </w:p>
    <w:p w14:paraId="677F6DEE" w14:textId="052D0D12" w:rsidR="00F74C35" w:rsidRPr="00E3754A" w:rsidRDefault="00F74C35" w:rsidP="00F74C35">
      <w:pPr>
        <w:pStyle w:val="NoSpacing"/>
        <w:rPr>
          <w:lang w:val="en-AU"/>
        </w:rPr>
      </w:pPr>
      <w:r w:rsidRPr="00E3754A">
        <w:rPr>
          <w:lang w:val="en-AU"/>
        </w:rPr>
        <w:t xml:space="preserve">Some </w:t>
      </w:r>
      <w:r w:rsidR="00EE556E" w:rsidRPr="00E3754A">
        <w:rPr>
          <w:lang w:val="en-AU"/>
        </w:rPr>
        <w:t>supported decision-making researchers have</w:t>
      </w:r>
      <w:r w:rsidR="00481E72" w:rsidRPr="00E3754A">
        <w:rPr>
          <w:lang w:val="en-AU"/>
        </w:rPr>
        <w:t xml:space="preserve"> recommended</w:t>
      </w:r>
      <w:r w:rsidRPr="00E3754A">
        <w:rPr>
          <w:lang w:val="en-AU"/>
        </w:rPr>
        <w:t xml:space="preserve"> providing training to </w:t>
      </w:r>
      <w:r w:rsidR="00481E72" w:rsidRPr="00E3754A">
        <w:rPr>
          <w:lang w:val="en-AU"/>
        </w:rPr>
        <w:t>disabled people</w:t>
      </w:r>
      <w:r w:rsidRPr="00E3754A">
        <w:rPr>
          <w:lang w:val="en-AU"/>
        </w:rPr>
        <w:t xml:space="preserve"> so that they can more effectively and confidently pursue their will and preferences (Werner, 2016). For example Morris (2015) </w:t>
      </w:r>
      <w:r w:rsidR="00D14368" w:rsidRPr="00E3754A">
        <w:rPr>
          <w:lang w:val="en-AU"/>
        </w:rPr>
        <w:t>explored</w:t>
      </w:r>
      <w:r w:rsidRPr="00E3754A">
        <w:rPr>
          <w:lang w:val="en-AU"/>
        </w:rPr>
        <w:t xml:space="preserve"> how </w:t>
      </w:r>
      <w:r w:rsidR="002C5EA2" w:rsidRPr="00E3754A">
        <w:rPr>
          <w:lang w:val="en-AU"/>
        </w:rPr>
        <w:t xml:space="preserve">disabled </w:t>
      </w:r>
      <w:r w:rsidR="00D14368" w:rsidRPr="00E3754A">
        <w:rPr>
          <w:lang w:val="en-AU"/>
        </w:rPr>
        <w:t>people could be assisted to develop</w:t>
      </w:r>
      <w:r w:rsidRPr="00E3754A">
        <w:rPr>
          <w:lang w:val="en-AU"/>
        </w:rPr>
        <w:t xml:space="preserve"> financial </w:t>
      </w:r>
      <w:r w:rsidR="00D14368" w:rsidRPr="00E3754A">
        <w:rPr>
          <w:lang w:val="en-AU"/>
        </w:rPr>
        <w:t>literacy</w:t>
      </w:r>
      <w:r w:rsidRPr="00E3754A">
        <w:rPr>
          <w:lang w:val="en-AU"/>
        </w:rPr>
        <w:t>.</w:t>
      </w:r>
      <w:r w:rsidR="00D14368" w:rsidRPr="00E3754A">
        <w:rPr>
          <w:lang w:val="en-AU"/>
        </w:rPr>
        <w:t xml:space="preserve"> Kayess et al. (2014) highlighted</w:t>
      </w:r>
      <w:r w:rsidRPr="00E3754A">
        <w:rPr>
          <w:lang w:val="en-AU"/>
        </w:rPr>
        <w:t xml:space="preserve"> the importance of self-advocacy </w:t>
      </w:r>
      <w:r w:rsidR="001A50B2" w:rsidRPr="00E3754A">
        <w:rPr>
          <w:lang w:val="en-AU"/>
        </w:rPr>
        <w:t>in empowering disabled</w:t>
      </w:r>
      <w:r w:rsidRPr="00E3754A">
        <w:rPr>
          <w:lang w:val="en-AU"/>
        </w:rPr>
        <w:t xml:space="preserve"> </w:t>
      </w:r>
      <w:r w:rsidR="001A50B2" w:rsidRPr="00E3754A">
        <w:rPr>
          <w:lang w:val="en-AU"/>
        </w:rPr>
        <w:t>people to have their views and opinions heard</w:t>
      </w:r>
      <w:r w:rsidRPr="00E3754A">
        <w:rPr>
          <w:lang w:val="en-AU"/>
        </w:rPr>
        <w:t>.</w:t>
      </w:r>
      <w:r w:rsidR="001A50B2" w:rsidRPr="00E3754A">
        <w:rPr>
          <w:lang w:val="en-AU"/>
        </w:rPr>
        <w:t xml:space="preserve"> In doing so, Kayess et al. (2014) </w:t>
      </w:r>
      <w:r w:rsidR="00F91B73" w:rsidRPr="00E3754A">
        <w:rPr>
          <w:lang w:val="en-AU"/>
        </w:rPr>
        <w:t>contend that</w:t>
      </w:r>
      <w:r w:rsidR="001A50B2" w:rsidRPr="00E3754A">
        <w:rPr>
          <w:lang w:val="en-AU"/>
        </w:rPr>
        <w:t xml:space="preserve"> the way in which systems contribute to the complex marginalisation of disabled people </w:t>
      </w:r>
      <w:r w:rsidR="00412CE6" w:rsidRPr="00E3754A">
        <w:rPr>
          <w:lang w:val="en-AU"/>
        </w:rPr>
        <w:t>can</w:t>
      </w:r>
      <w:r w:rsidR="001A50B2" w:rsidRPr="00E3754A">
        <w:rPr>
          <w:lang w:val="en-AU"/>
        </w:rPr>
        <w:t xml:space="preserve"> be exposed.</w:t>
      </w:r>
      <w:r w:rsidRPr="00E3754A">
        <w:rPr>
          <w:lang w:val="en-AU"/>
        </w:rPr>
        <w:t xml:space="preserve"> As Burgen (2016) discusses, </w:t>
      </w:r>
      <w:r w:rsidR="002C5EA2" w:rsidRPr="00E3754A">
        <w:rPr>
          <w:lang w:val="en-AU"/>
        </w:rPr>
        <w:t xml:space="preserve">disabled </w:t>
      </w:r>
      <w:r w:rsidR="003D59C8" w:rsidRPr="00E3754A">
        <w:rPr>
          <w:lang w:val="en-AU"/>
        </w:rPr>
        <w:t>people</w:t>
      </w:r>
      <w:r w:rsidRPr="00E3754A">
        <w:rPr>
          <w:lang w:val="en-AU"/>
        </w:rPr>
        <w:t xml:space="preserve"> are often not </w:t>
      </w:r>
      <w:r w:rsidR="00233ED6" w:rsidRPr="00E3754A">
        <w:rPr>
          <w:lang w:val="en-AU"/>
        </w:rPr>
        <w:t>familiar with</w:t>
      </w:r>
      <w:r w:rsidRPr="00E3754A">
        <w:rPr>
          <w:lang w:val="en-AU"/>
        </w:rPr>
        <w:t xml:space="preserve"> being granted agency, which reinforces preconceived ideas about </w:t>
      </w:r>
      <w:r w:rsidR="003D59C8" w:rsidRPr="00E3754A">
        <w:rPr>
          <w:lang w:val="en-AU"/>
        </w:rPr>
        <w:t>their</w:t>
      </w:r>
      <w:r w:rsidRPr="00E3754A">
        <w:rPr>
          <w:lang w:val="en-AU"/>
        </w:rPr>
        <w:t xml:space="preserve"> abilities, </w:t>
      </w:r>
      <w:r w:rsidR="00F3315B" w:rsidRPr="00E3754A">
        <w:rPr>
          <w:lang w:val="en-AU"/>
        </w:rPr>
        <w:t xml:space="preserve">and also </w:t>
      </w:r>
      <w:r w:rsidRPr="00E3754A">
        <w:rPr>
          <w:lang w:val="en-AU"/>
        </w:rPr>
        <w:t xml:space="preserve">reinforces </w:t>
      </w:r>
      <w:r w:rsidR="00F3315B" w:rsidRPr="00E3754A">
        <w:rPr>
          <w:lang w:val="en-AU"/>
        </w:rPr>
        <w:t xml:space="preserve">their own </w:t>
      </w:r>
      <w:r w:rsidRPr="00E3754A">
        <w:rPr>
          <w:lang w:val="en-AU"/>
        </w:rPr>
        <w:t xml:space="preserve">fears </w:t>
      </w:r>
      <w:r w:rsidR="006C48A9" w:rsidRPr="00E3754A">
        <w:rPr>
          <w:lang w:val="en-AU"/>
        </w:rPr>
        <w:t>about</w:t>
      </w:r>
      <w:r w:rsidRPr="00E3754A">
        <w:rPr>
          <w:lang w:val="en-AU"/>
        </w:rPr>
        <w:t xml:space="preserve"> decision-making processes, and </w:t>
      </w:r>
      <w:r w:rsidR="00D702D1" w:rsidRPr="00E3754A">
        <w:rPr>
          <w:lang w:val="en-AU"/>
        </w:rPr>
        <w:t xml:space="preserve">exacerbates </w:t>
      </w:r>
      <w:r w:rsidRPr="00E3754A">
        <w:rPr>
          <w:lang w:val="en-AU"/>
        </w:rPr>
        <w:t xml:space="preserve">learned behaviours of dependency. Learned behaviours of dependency encourage </w:t>
      </w:r>
      <w:r w:rsidR="002C5EA2" w:rsidRPr="00E3754A">
        <w:rPr>
          <w:lang w:val="en-AU"/>
        </w:rPr>
        <w:t>disabled person</w:t>
      </w:r>
      <w:r w:rsidRPr="00E3754A">
        <w:rPr>
          <w:lang w:val="en-AU"/>
        </w:rPr>
        <w:t>s to take passive role</w:t>
      </w:r>
      <w:r w:rsidR="00233ED6" w:rsidRPr="00E3754A">
        <w:rPr>
          <w:lang w:val="en-AU"/>
        </w:rPr>
        <w:t>s in decision-making</w:t>
      </w:r>
      <w:r w:rsidRPr="00E3754A">
        <w:rPr>
          <w:lang w:val="en-AU"/>
        </w:rPr>
        <w:t xml:space="preserve"> (McDaid &amp; Delaney</w:t>
      </w:r>
      <w:r w:rsidR="00F14A76" w:rsidRPr="00E3754A">
        <w:rPr>
          <w:lang w:val="en-AU"/>
        </w:rPr>
        <w:t>, 2011</w:t>
      </w:r>
      <w:r w:rsidRPr="00E3754A">
        <w:rPr>
          <w:lang w:val="en-AU"/>
        </w:rPr>
        <w:t>). Support that encourages self-advocacy has been shown to challenge these (Burgen, 2016).</w:t>
      </w:r>
    </w:p>
    <w:p w14:paraId="23176C0D" w14:textId="22E15AA1" w:rsidR="00F74C35" w:rsidRPr="00E3754A" w:rsidRDefault="00F74C35" w:rsidP="00F74C35">
      <w:pPr>
        <w:pStyle w:val="NoSpacing"/>
        <w:rPr>
          <w:lang w:val="en-AU"/>
        </w:rPr>
      </w:pPr>
      <w:r w:rsidRPr="00E3754A">
        <w:rPr>
          <w:lang w:val="en-AU"/>
        </w:rPr>
        <w:t xml:space="preserve">It is suggested that self-advocacy can be encouraged by increasing the frequency of </w:t>
      </w:r>
      <w:r w:rsidR="002C5EA2" w:rsidRPr="00E3754A">
        <w:rPr>
          <w:lang w:val="en-AU"/>
        </w:rPr>
        <w:t xml:space="preserve">disabled </w:t>
      </w:r>
      <w:r w:rsidR="00D702D1" w:rsidRPr="00E3754A">
        <w:rPr>
          <w:lang w:val="en-AU"/>
        </w:rPr>
        <w:t>people’s</w:t>
      </w:r>
      <w:r w:rsidRPr="00E3754A">
        <w:rPr>
          <w:lang w:val="en-AU"/>
        </w:rPr>
        <w:t xml:space="preserve"> involvement in new experiences or decisions so </w:t>
      </w:r>
      <w:r w:rsidR="00384AF7" w:rsidRPr="00E3754A">
        <w:rPr>
          <w:lang w:val="en-AU"/>
        </w:rPr>
        <w:t xml:space="preserve">as </w:t>
      </w:r>
      <w:r w:rsidRPr="00E3754A">
        <w:rPr>
          <w:lang w:val="en-AU"/>
        </w:rPr>
        <w:t xml:space="preserve">to gain familiarity with such processes (Burgen, 2016; Tracy, </w:t>
      </w:r>
      <w:r w:rsidR="00F14A76" w:rsidRPr="00E3754A">
        <w:rPr>
          <w:lang w:val="en-AU"/>
        </w:rPr>
        <w:t>2015</w:t>
      </w:r>
      <w:r w:rsidRPr="00E3754A">
        <w:rPr>
          <w:lang w:val="en-AU"/>
        </w:rPr>
        <w:t>). Additionally, person-centred planning and care planning are proposed as mechanisms by which support can be provided (Browning et al., 2014; Devi, 2013).</w:t>
      </w:r>
      <w:r w:rsidR="00D702D1" w:rsidRPr="00E3754A">
        <w:rPr>
          <w:lang w:val="en-AU"/>
        </w:rPr>
        <w:t xml:space="preserve"> </w:t>
      </w:r>
      <w:r w:rsidR="002D357A" w:rsidRPr="00E3754A">
        <w:rPr>
          <w:lang w:val="en-AU"/>
        </w:rPr>
        <w:t>However,</w:t>
      </w:r>
      <w:r w:rsidRPr="00E3754A">
        <w:rPr>
          <w:lang w:val="en-AU"/>
        </w:rPr>
        <w:t xml:space="preserve"> </w:t>
      </w:r>
      <w:r w:rsidR="00C46381" w:rsidRPr="00E3754A">
        <w:rPr>
          <w:lang w:val="en-AU"/>
        </w:rPr>
        <w:t xml:space="preserve">as noted in the </w:t>
      </w:r>
      <w:r w:rsidR="007F1530" w:rsidRPr="00E3754A">
        <w:rPr>
          <w:lang w:val="en-AU"/>
        </w:rPr>
        <w:t>previous</w:t>
      </w:r>
      <w:r w:rsidR="002D357A" w:rsidRPr="00E3754A">
        <w:rPr>
          <w:lang w:val="en-AU"/>
        </w:rPr>
        <w:t xml:space="preserve"> </w:t>
      </w:r>
      <w:r w:rsidR="00C46381" w:rsidRPr="00E3754A">
        <w:rPr>
          <w:lang w:val="en-AU"/>
        </w:rPr>
        <w:t>section on structural support</w:t>
      </w:r>
      <w:r w:rsidR="002D357A" w:rsidRPr="00E3754A">
        <w:rPr>
          <w:lang w:val="en-AU"/>
        </w:rPr>
        <w:t xml:space="preserve"> </w:t>
      </w:r>
      <w:r w:rsidR="007F1530" w:rsidRPr="00E3754A">
        <w:rPr>
          <w:lang w:val="en-AU"/>
        </w:rPr>
        <w:t xml:space="preserve">and following section on </w:t>
      </w:r>
      <w:r w:rsidR="002D357A" w:rsidRPr="00E3754A">
        <w:rPr>
          <w:lang w:val="en-AU"/>
        </w:rPr>
        <w:t>reasonable accommodation</w:t>
      </w:r>
      <w:r w:rsidR="00C46381" w:rsidRPr="00E3754A">
        <w:rPr>
          <w:lang w:val="en-AU"/>
        </w:rPr>
        <w:t xml:space="preserve">, </w:t>
      </w:r>
      <w:r w:rsidRPr="00E3754A">
        <w:rPr>
          <w:lang w:val="en-AU"/>
        </w:rPr>
        <w:t xml:space="preserve">changing the barriers, obstacles, and discrimination </w:t>
      </w:r>
      <w:r w:rsidR="002C5EA2" w:rsidRPr="00E3754A">
        <w:rPr>
          <w:lang w:val="en-AU"/>
        </w:rPr>
        <w:t>disabled person</w:t>
      </w:r>
      <w:r w:rsidRPr="00E3754A">
        <w:rPr>
          <w:lang w:val="en-AU"/>
        </w:rPr>
        <w:t xml:space="preserve">s experience </w:t>
      </w:r>
      <w:r w:rsidR="002D357A" w:rsidRPr="00E3754A">
        <w:rPr>
          <w:lang w:val="en-AU"/>
        </w:rPr>
        <w:t xml:space="preserve">ultimately </w:t>
      </w:r>
      <w:r w:rsidRPr="00E3754A">
        <w:rPr>
          <w:lang w:val="en-AU"/>
        </w:rPr>
        <w:t>lies in changing society itself and changing how third parties</w:t>
      </w:r>
      <w:r w:rsidR="002D357A" w:rsidRPr="00E3754A">
        <w:rPr>
          <w:lang w:val="en-AU"/>
        </w:rPr>
        <w:t xml:space="preserve"> shift from</w:t>
      </w:r>
      <w:r w:rsidRPr="00E3754A">
        <w:rPr>
          <w:lang w:val="en-AU"/>
        </w:rPr>
        <w:t xml:space="preserve"> occup</w:t>
      </w:r>
      <w:r w:rsidR="002D357A" w:rsidRPr="00E3754A">
        <w:rPr>
          <w:lang w:val="en-AU"/>
        </w:rPr>
        <w:t>ying</w:t>
      </w:r>
      <w:r w:rsidRPr="00E3754A">
        <w:rPr>
          <w:lang w:val="en-AU"/>
        </w:rPr>
        <w:t xml:space="preserve"> the role of </w:t>
      </w:r>
      <w:r w:rsidR="002D357A" w:rsidRPr="00E3754A">
        <w:rPr>
          <w:lang w:val="en-AU"/>
        </w:rPr>
        <w:t xml:space="preserve">substitute decision-maker to </w:t>
      </w:r>
      <w:r w:rsidRPr="00E3754A">
        <w:rPr>
          <w:lang w:val="en-AU"/>
        </w:rPr>
        <w:t>supporter</w:t>
      </w:r>
      <w:r w:rsidR="00D702D1" w:rsidRPr="00E3754A">
        <w:rPr>
          <w:lang w:val="en-AU"/>
        </w:rPr>
        <w:t xml:space="preserve"> </w:t>
      </w:r>
      <w:r w:rsidRPr="00E3754A">
        <w:rPr>
          <w:lang w:val="en-AU"/>
        </w:rPr>
        <w:t xml:space="preserve">(as discussed in </w:t>
      </w:r>
      <w:r w:rsidR="002D357A" w:rsidRPr="00E3754A">
        <w:rPr>
          <w:lang w:val="en-AU"/>
        </w:rPr>
        <w:t>conceptualising</w:t>
      </w:r>
      <w:r w:rsidRPr="00E3754A">
        <w:rPr>
          <w:lang w:val="en-AU"/>
        </w:rPr>
        <w:t xml:space="preserve"> the ‘social model’ in</w:t>
      </w:r>
      <w:r w:rsidR="00BC79D5" w:rsidRPr="00E3754A">
        <w:rPr>
          <w:lang w:val="en-AU"/>
        </w:rPr>
        <w:t xml:space="preserve"> O’Mahony</w:t>
      </w:r>
      <w:r w:rsidRPr="00E3754A">
        <w:rPr>
          <w:lang w:val="en-AU"/>
        </w:rPr>
        <w:t xml:space="preserve">, 2012; Mental Disability Advocacy Center, n.d.; Richardson, 2012; Umeasiegbu, 2013). </w:t>
      </w:r>
    </w:p>
    <w:tbl>
      <w:tblPr>
        <w:tblStyle w:val="Style1"/>
        <w:tblW w:w="5000" w:type="pct"/>
        <w:tblLook w:val="04A0" w:firstRow="1" w:lastRow="0" w:firstColumn="1" w:lastColumn="0" w:noHBand="0" w:noVBand="1"/>
      </w:tblPr>
      <w:tblGrid>
        <w:gridCol w:w="9236"/>
      </w:tblGrid>
      <w:tr w:rsidR="00F74C35" w:rsidRPr="00E3754A" w14:paraId="1D481FD2" w14:textId="77777777" w:rsidTr="00763F94">
        <w:tc>
          <w:tcPr>
            <w:tcW w:w="5000" w:type="pct"/>
          </w:tcPr>
          <w:p w14:paraId="1A53D612" w14:textId="5862B999" w:rsidR="00F74C35" w:rsidRPr="00E3754A" w:rsidRDefault="00F74C35" w:rsidP="00323745">
            <w:pPr>
              <w:pStyle w:val="NoSpacing"/>
              <w:rPr>
                <w:lang w:val="en-AU"/>
              </w:rPr>
            </w:pPr>
            <w:r w:rsidRPr="00E3754A">
              <w:rPr>
                <w:lang w:val="en-AU"/>
              </w:rPr>
              <w:t xml:space="preserve">An example of decision-making training for </w:t>
            </w:r>
            <w:r w:rsidR="002C5EA2" w:rsidRPr="00E3754A">
              <w:rPr>
                <w:lang w:val="en-AU"/>
              </w:rPr>
              <w:t xml:space="preserve">disabled </w:t>
            </w:r>
            <w:r w:rsidR="00323745" w:rsidRPr="00E3754A">
              <w:rPr>
                <w:lang w:val="en-AU"/>
              </w:rPr>
              <w:t xml:space="preserve">people </w:t>
            </w:r>
            <w:r w:rsidR="00CA6A99" w:rsidRPr="00E3754A">
              <w:rPr>
                <w:lang w:val="en-AU"/>
              </w:rPr>
              <w:t>can be seen in a</w:t>
            </w:r>
            <w:r w:rsidRPr="00E3754A">
              <w:rPr>
                <w:lang w:val="en-AU"/>
              </w:rPr>
              <w:t xml:space="preserve"> mental health initiative</w:t>
            </w:r>
            <w:r w:rsidR="00CA6A99" w:rsidRPr="00E3754A">
              <w:rPr>
                <w:lang w:val="en-AU"/>
              </w:rPr>
              <w:t>,</w:t>
            </w:r>
            <w:r w:rsidRPr="00E3754A">
              <w:rPr>
                <w:lang w:val="en-AU"/>
              </w:rPr>
              <w:t xml:space="preserve"> </w:t>
            </w:r>
            <w:r w:rsidR="00CA6A99" w:rsidRPr="00E3754A">
              <w:rPr>
                <w:lang w:val="en-AU"/>
              </w:rPr>
              <w:t xml:space="preserve">which utilises advocates, </w:t>
            </w:r>
            <w:r w:rsidRPr="00E3754A">
              <w:rPr>
                <w:lang w:val="en-AU"/>
              </w:rPr>
              <w:t xml:space="preserve">in </w:t>
            </w:r>
            <w:r w:rsidRPr="00E3754A">
              <w:rPr>
                <w:rStyle w:val="Emphasis"/>
                <w:lang w:val="en-AU"/>
              </w:rPr>
              <w:t>Victoria, Australia</w:t>
            </w:r>
            <w:r w:rsidRPr="00E3754A">
              <w:rPr>
                <w:lang w:val="en-AU"/>
              </w:rPr>
              <w:t xml:space="preserve">. </w:t>
            </w:r>
            <w:r w:rsidR="00CA6A99" w:rsidRPr="00E3754A">
              <w:rPr>
                <w:lang w:val="en-AU"/>
              </w:rPr>
              <w:t>A</w:t>
            </w:r>
            <w:r w:rsidRPr="00E3754A">
              <w:rPr>
                <w:lang w:val="en-AU"/>
              </w:rPr>
              <w:t xml:space="preserve">dvocates serve to assist </w:t>
            </w:r>
            <w:r w:rsidR="002C5EA2" w:rsidRPr="00E3754A">
              <w:rPr>
                <w:lang w:val="en-AU"/>
              </w:rPr>
              <w:t xml:space="preserve">disabled </w:t>
            </w:r>
            <w:r w:rsidR="00CA6A99" w:rsidRPr="00E3754A">
              <w:rPr>
                <w:lang w:val="en-AU"/>
              </w:rPr>
              <w:t>people</w:t>
            </w:r>
            <w:r w:rsidRPr="00E3754A">
              <w:rPr>
                <w:lang w:val="en-AU"/>
              </w:rPr>
              <w:t xml:space="preserve"> generally but also provide and explain </w:t>
            </w:r>
            <w:r w:rsidR="002C5EA2" w:rsidRPr="00E3754A">
              <w:rPr>
                <w:lang w:val="en-AU"/>
              </w:rPr>
              <w:t xml:space="preserve">disabled </w:t>
            </w:r>
            <w:r w:rsidR="003E6449" w:rsidRPr="00E3754A">
              <w:rPr>
                <w:lang w:val="en-AU"/>
              </w:rPr>
              <w:t>peoples’</w:t>
            </w:r>
            <w:r w:rsidRPr="00E3754A">
              <w:rPr>
                <w:lang w:val="en-AU"/>
              </w:rPr>
              <w:t xml:space="preserve"> rights to decision-making participation (</w:t>
            </w:r>
            <w:r w:rsidR="00126119" w:rsidRPr="00E3754A">
              <w:rPr>
                <w:lang w:val="en-AU"/>
              </w:rPr>
              <w:t>Department of Health, 2014</w:t>
            </w:r>
            <w:r w:rsidRPr="00E3754A">
              <w:rPr>
                <w:lang w:val="en-AU"/>
              </w:rPr>
              <w:t xml:space="preserve">). Overall, advocates are purposed to offer advice but also empower </w:t>
            </w:r>
            <w:r w:rsidR="002C5EA2" w:rsidRPr="00E3754A">
              <w:rPr>
                <w:lang w:val="en-AU"/>
              </w:rPr>
              <w:t>disabled person</w:t>
            </w:r>
            <w:r w:rsidRPr="00E3754A">
              <w:rPr>
                <w:lang w:val="en-AU"/>
              </w:rPr>
              <w:t xml:space="preserve">s and help them </w:t>
            </w:r>
            <w:r w:rsidR="005B7EB3" w:rsidRPr="00E3754A">
              <w:rPr>
                <w:lang w:val="en-AU"/>
              </w:rPr>
              <w:t>develop</w:t>
            </w:r>
            <w:r w:rsidRPr="00E3754A">
              <w:rPr>
                <w:lang w:val="en-AU"/>
              </w:rPr>
              <w:t xml:space="preserve"> self-advocacy </w:t>
            </w:r>
            <w:r w:rsidR="005B7EB3" w:rsidRPr="00E3754A">
              <w:rPr>
                <w:lang w:val="en-AU"/>
              </w:rPr>
              <w:t xml:space="preserve">skills </w:t>
            </w:r>
            <w:r w:rsidRPr="00E3754A">
              <w:rPr>
                <w:lang w:val="en-AU"/>
              </w:rPr>
              <w:t>(also see Flynn 2010 for more on advocacy).</w:t>
            </w:r>
          </w:p>
        </w:tc>
      </w:tr>
      <w:tr w:rsidR="00DA07F0" w:rsidRPr="00E3754A" w14:paraId="57AFB581" w14:textId="77777777" w:rsidTr="00DA07F0">
        <w:tc>
          <w:tcPr>
            <w:tcW w:w="5000" w:type="pct"/>
          </w:tcPr>
          <w:p w14:paraId="577C5402" w14:textId="02E1FD81" w:rsidR="00DA07F0" w:rsidRPr="00E3754A" w:rsidRDefault="00DA07F0" w:rsidP="000B5CBA">
            <w:pPr>
              <w:pStyle w:val="NoSpacing"/>
              <w:rPr>
                <w:lang w:val="en-AU"/>
              </w:rPr>
            </w:pPr>
            <w:r w:rsidRPr="00E3754A">
              <w:rPr>
                <w:rStyle w:val="Emphasis"/>
                <w:lang w:val="en-AU"/>
              </w:rPr>
              <w:t>Scotland</w:t>
            </w:r>
            <w:r w:rsidRPr="00E3754A">
              <w:rPr>
                <w:lang w:val="en-AU"/>
              </w:rPr>
              <w:t xml:space="preserve"> has set up a free and independent advocacy initiative that serves to support people in expressing their will and preference and to participate in decision-making (Pathare &amp; Shields, 2012; Scotland et al., 2013). The initiative is entitled “the Scottish Independent Advocacy Alliance (SIAA)”. Advocates are purposed to ensure that persons are treated fairly by others, </w:t>
            </w:r>
            <w:r w:rsidR="000B5CBA">
              <w:rPr>
                <w:lang w:val="en-AU"/>
              </w:rPr>
              <w:t>encourage</w:t>
            </w:r>
            <w:r w:rsidRPr="00E3754A">
              <w:rPr>
                <w:lang w:val="en-AU"/>
              </w:rPr>
              <w:t xml:space="preserve"> empowerment and self-advocacy, and to </w:t>
            </w:r>
            <w:r w:rsidR="000B5CBA">
              <w:rPr>
                <w:lang w:val="en-AU"/>
              </w:rPr>
              <w:t>increase</w:t>
            </w:r>
            <w:r w:rsidR="000B5CBA" w:rsidRPr="00E3754A">
              <w:rPr>
                <w:lang w:val="en-AU"/>
              </w:rPr>
              <w:t xml:space="preserve"> </w:t>
            </w:r>
            <w:r w:rsidRPr="00E3754A">
              <w:rPr>
                <w:lang w:val="en-AU"/>
              </w:rPr>
              <w:t xml:space="preserve">the decision-making abilities of disabled </w:t>
            </w:r>
            <w:r w:rsidR="000B5CBA">
              <w:rPr>
                <w:lang w:val="en-AU"/>
              </w:rPr>
              <w:t>people</w:t>
            </w:r>
            <w:r w:rsidR="000B5CBA" w:rsidRPr="00E3754A">
              <w:rPr>
                <w:lang w:val="en-AU"/>
              </w:rPr>
              <w:t xml:space="preserve"> </w:t>
            </w:r>
            <w:r w:rsidRPr="00E3754A">
              <w:rPr>
                <w:lang w:val="en-AU"/>
              </w:rPr>
              <w:t>(Scotland et al., 2013). Support is not provided according to a template; all support is personalised according to what the person wants and needs. SIAA works to provide advocacy support to anyone in Scotland.</w:t>
            </w:r>
          </w:p>
        </w:tc>
      </w:tr>
      <w:tr w:rsidR="00DA07F0" w:rsidRPr="00E3754A" w14:paraId="5FD0B32D" w14:textId="77777777" w:rsidTr="00DA07F0">
        <w:tc>
          <w:tcPr>
            <w:tcW w:w="5000" w:type="pct"/>
          </w:tcPr>
          <w:p w14:paraId="100D0DA2" w14:textId="5E7709FB" w:rsidR="00DA07F0" w:rsidRPr="00E3754A" w:rsidRDefault="00DA07F0" w:rsidP="00323745">
            <w:pPr>
              <w:pStyle w:val="NoSpacing"/>
              <w:rPr>
                <w:lang w:val="en-AU"/>
              </w:rPr>
            </w:pPr>
            <w:r w:rsidRPr="00E3754A">
              <w:rPr>
                <w:rStyle w:val="Emphasis"/>
                <w:lang w:val="en-AU"/>
              </w:rPr>
              <w:t>England &amp; Wales</w:t>
            </w:r>
            <w:r w:rsidRPr="00E3754A">
              <w:rPr>
                <w:lang w:val="en-AU"/>
              </w:rPr>
              <w:t xml:space="preserve"> made provisions for </w:t>
            </w:r>
            <w:r w:rsidR="00323745" w:rsidRPr="00E3754A">
              <w:rPr>
                <w:lang w:val="en-AU"/>
              </w:rPr>
              <w:t xml:space="preserve">supported </w:t>
            </w:r>
            <w:r w:rsidRPr="00E3754A">
              <w:rPr>
                <w:lang w:val="en-AU"/>
              </w:rPr>
              <w:t>decision-making within the Mental Capacity Act (2005), referred to as ‘independent mental capacity advocates</w:t>
            </w:r>
            <w:r w:rsidR="00323745" w:rsidRPr="00E3754A">
              <w:rPr>
                <w:lang w:val="en-AU"/>
              </w:rPr>
              <w:t>’</w:t>
            </w:r>
            <w:r w:rsidRPr="00E3754A">
              <w:rPr>
                <w:lang w:val="en-AU"/>
              </w:rPr>
              <w:t xml:space="preserve"> (IMCA) service. IMCAs advocate on behalf of a disabled person to support the expression of their will and preference and assist in the decision-making process.</w:t>
            </w:r>
          </w:p>
        </w:tc>
      </w:tr>
    </w:tbl>
    <w:p w14:paraId="7AEFFEBA" w14:textId="1F93AFD2" w:rsidR="00517389" w:rsidRPr="00E3754A" w:rsidRDefault="00317C56" w:rsidP="00AD0BE0">
      <w:pPr>
        <w:pStyle w:val="Heading4"/>
        <w:rPr>
          <w:lang w:val="en-AU"/>
        </w:rPr>
      </w:pPr>
      <w:r w:rsidRPr="00E3754A">
        <w:rPr>
          <w:lang w:val="en-AU"/>
        </w:rPr>
        <w:t>Key elements of the supporter role</w:t>
      </w:r>
    </w:p>
    <w:p w14:paraId="2CE0A480" w14:textId="11039A18" w:rsidR="00517389" w:rsidRPr="00E3754A" w:rsidRDefault="00AD0BE0" w:rsidP="00AD0BE0">
      <w:pPr>
        <w:pStyle w:val="Heading5"/>
        <w:rPr>
          <w:lang w:val="en-AU"/>
        </w:rPr>
      </w:pPr>
      <w:r w:rsidRPr="00E3754A">
        <w:rPr>
          <w:lang w:val="en-AU"/>
        </w:rPr>
        <w:t>Understanding will and preference</w:t>
      </w:r>
    </w:p>
    <w:p w14:paraId="1DA83D71" w14:textId="5BCF51BF" w:rsidR="001D62ED" w:rsidRPr="00E3754A" w:rsidRDefault="002D3A88" w:rsidP="001D62ED">
      <w:pPr>
        <w:pStyle w:val="NoSpacing"/>
        <w:rPr>
          <w:lang w:val="en-AU"/>
        </w:rPr>
      </w:pPr>
      <w:r w:rsidRPr="00E3754A">
        <w:rPr>
          <w:lang w:val="en-AU"/>
        </w:rPr>
        <w:t>As Watso</w:t>
      </w:r>
      <w:r w:rsidR="001D62ED" w:rsidRPr="00E3754A">
        <w:rPr>
          <w:lang w:val="en-AU"/>
        </w:rPr>
        <w:t xml:space="preserve">n (2016a) argues, </w:t>
      </w:r>
      <w:r w:rsidRPr="00E3754A">
        <w:rPr>
          <w:lang w:val="en-AU"/>
        </w:rPr>
        <w:t>understanding</w:t>
      </w:r>
      <w:r w:rsidR="001D62ED" w:rsidRPr="00E3754A">
        <w:rPr>
          <w:lang w:val="en-AU"/>
        </w:rPr>
        <w:t xml:space="preserve"> a person’s will and preferences can be a complex process. More technical means of support may need to be employed to ascertain will and preferences, </w:t>
      </w:r>
      <w:r w:rsidR="009379A6" w:rsidRPr="00E3754A">
        <w:rPr>
          <w:lang w:val="en-AU"/>
        </w:rPr>
        <w:t xml:space="preserve">to </w:t>
      </w:r>
      <w:r w:rsidR="001D62ED" w:rsidRPr="00E3754A">
        <w:rPr>
          <w:lang w:val="en-AU"/>
        </w:rPr>
        <w:t xml:space="preserve">relay information related to a decision, and </w:t>
      </w:r>
      <w:r w:rsidR="009379A6" w:rsidRPr="00E3754A">
        <w:rPr>
          <w:lang w:val="en-AU"/>
        </w:rPr>
        <w:t xml:space="preserve">to </w:t>
      </w:r>
      <w:r w:rsidR="001D62ED" w:rsidRPr="00E3754A">
        <w:rPr>
          <w:lang w:val="en-AU"/>
        </w:rPr>
        <w:t>support their decision-making. This section examines what support could look like with regard to decision-making</w:t>
      </w:r>
      <w:r w:rsidR="00F05A3B" w:rsidRPr="00E3754A">
        <w:rPr>
          <w:lang w:val="en-AU"/>
        </w:rPr>
        <w:t xml:space="preserve"> processes</w:t>
      </w:r>
      <w:r w:rsidR="001D62ED" w:rsidRPr="00E3754A">
        <w:rPr>
          <w:lang w:val="en-AU"/>
        </w:rPr>
        <w:t xml:space="preserve"> or expressive and receptive communication. There are many means by which communication and decision-making can be aided.</w:t>
      </w:r>
    </w:p>
    <w:p w14:paraId="5A49CF59" w14:textId="1470506E" w:rsidR="001D62ED" w:rsidRPr="00E3754A" w:rsidRDefault="001D62ED" w:rsidP="001D62ED">
      <w:pPr>
        <w:pStyle w:val="NoSpacing"/>
        <w:rPr>
          <w:lang w:val="en-AU"/>
        </w:rPr>
      </w:pPr>
      <w:r w:rsidRPr="00E3754A">
        <w:rPr>
          <w:lang w:val="en-AU"/>
        </w:rPr>
        <w:t xml:space="preserve">Some key means and mechanisms suggested in the literature for the supporting </w:t>
      </w:r>
      <w:r w:rsidR="00175900">
        <w:rPr>
          <w:lang w:val="en-AU"/>
        </w:rPr>
        <w:t>role</w:t>
      </w:r>
      <w:r w:rsidR="00175900" w:rsidRPr="00E3754A">
        <w:rPr>
          <w:lang w:val="en-AU"/>
        </w:rPr>
        <w:t xml:space="preserve"> </w:t>
      </w:r>
      <w:r w:rsidRPr="00E3754A">
        <w:rPr>
          <w:lang w:val="en-AU"/>
        </w:rPr>
        <w:t>include</w:t>
      </w:r>
      <w:r w:rsidR="00175900">
        <w:rPr>
          <w:lang w:val="en-AU"/>
        </w:rPr>
        <w:t>s</w:t>
      </w:r>
      <w:r w:rsidRPr="00E3754A">
        <w:rPr>
          <w:lang w:val="en-AU"/>
        </w:rPr>
        <w:t>:</w:t>
      </w:r>
    </w:p>
    <w:p w14:paraId="5CA4651E" w14:textId="01350CDC" w:rsidR="001D62ED" w:rsidRPr="00E3754A" w:rsidRDefault="001D62ED" w:rsidP="006E5646">
      <w:pPr>
        <w:pStyle w:val="NoSpacing"/>
        <w:numPr>
          <w:ilvl w:val="0"/>
          <w:numId w:val="24"/>
        </w:numPr>
        <w:rPr>
          <w:lang w:val="en-AU"/>
        </w:rPr>
      </w:pPr>
      <w:r w:rsidRPr="00E3754A">
        <w:rPr>
          <w:lang w:val="en-AU"/>
        </w:rPr>
        <w:t xml:space="preserve">Information in accessible formats. </w:t>
      </w:r>
    </w:p>
    <w:p w14:paraId="29C81D4C" w14:textId="6B3B1209" w:rsidR="001D62ED" w:rsidRPr="00E3754A" w:rsidRDefault="001D62ED" w:rsidP="006E5646">
      <w:pPr>
        <w:pStyle w:val="NoSpacing"/>
        <w:numPr>
          <w:ilvl w:val="0"/>
          <w:numId w:val="24"/>
        </w:numPr>
        <w:rPr>
          <w:lang w:val="en-AU"/>
        </w:rPr>
      </w:pPr>
      <w:r w:rsidRPr="00E3754A">
        <w:rPr>
          <w:lang w:val="en-AU"/>
        </w:rPr>
        <w:t>Assistive technology.</w:t>
      </w:r>
    </w:p>
    <w:p w14:paraId="7D18A793" w14:textId="542FD35D" w:rsidR="001D62ED" w:rsidRPr="00E3754A" w:rsidRDefault="001D62ED" w:rsidP="006E5646">
      <w:pPr>
        <w:pStyle w:val="NoSpacing"/>
        <w:numPr>
          <w:ilvl w:val="0"/>
          <w:numId w:val="24"/>
        </w:numPr>
        <w:rPr>
          <w:lang w:val="en-AU"/>
        </w:rPr>
      </w:pPr>
      <w:r w:rsidRPr="00E3754A">
        <w:rPr>
          <w:lang w:val="en-AU"/>
        </w:rPr>
        <w:t xml:space="preserve">Other means, such as Talking Mats and Communication Passports. </w:t>
      </w:r>
    </w:p>
    <w:p w14:paraId="2E45D95D" w14:textId="49CC71F9" w:rsidR="001D62ED" w:rsidRPr="00E3754A" w:rsidRDefault="001D62ED" w:rsidP="006E5646">
      <w:pPr>
        <w:pStyle w:val="NoSpacing"/>
        <w:numPr>
          <w:ilvl w:val="0"/>
          <w:numId w:val="24"/>
        </w:numPr>
        <w:rPr>
          <w:lang w:val="en-AU"/>
        </w:rPr>
      </w:pPr>
      <w:r w:rsidRPr="00E3754A">
        <w:rPr>
          <w:lang w:val="en-AU"/>
        </w:rPr>
        <w:t>Advance care planning.</w:t>
      </w:r>
    </w:p>
    <w:p w14:paraId="4F34F378" w14:textId="77777777" w:rsidR="009379A6" w:rsidRPr="00E3754A" w:rsidRDefault="009379A6" w:rsidP="00FC66BF">
      <w:pPr>
        <w:pStyle w:val="Heading6"/>
        <w:rPr>
          <w:lang w:val="en-AU"/>
        </w:rPr>
      </w:pPr>
      <w:r w:rsidRPr="00E3754A">
        <w:rPr>
          <w:lang w:val="en-AU"/>
        </w:rPr>
        <w:t>Communicative support</w:t>
      </w:r>
    </w:p>
    <w:p w14:paraId="24D0EB43" w14:textId="17C6D580" w:rsidR="002B1A75" w:rsidRPr="00E3754A" w:rsidRDefault="00E30F2C" w:rsidP="002B1A75">
      <w:pPr>
        <w:pStyle w:val="NoSpacing"/>
        <w:rPr>
          <w:lang w:val="en-AU"/>
        </w:rPr>
      </w:pPr>
      <w:r w:rsidRPr="00E3754A">
        <w:rPr>
          <w:lang w:val="en-AU"/>
        </w:rPr>
        <w:t xml:space="preserve">Earlier in this </w:t>
      </w:r>
      <w:r w:rsidR="00817C33" w:rsidRPr="00E3754A">
        <w:rPr>
          <w:lang w:val="en-AU"/>
        </w:rPr>
        <w:t>section, broad</w:t>
      </w:r>
      <w:r w:rsidR="00CD3FF3" w:rsidRPr="00E3754A">
        <w:rPr>
          <w:lang w:val="en-AU"/>
        </w:rPr>
        <w:t xml:space="preserve"> and well</w:t>
      </w:r>
      <w:r w:rsidR="00F05A3B" w:rsidRPr="00E3754A">
        <w:rPr>
          <w:lang w:val="en-AU"/>
        </w:rPr>
        <w:t>-</w:t>
      </w:r>
      <w:r w:rsidR="00CD3FF3" w:rsidRPr="00E3754A">
        <w:rPr>
          <w:lang w:val="en-AU"/>
        </w:rPr>
        <w:t xml:space="preserve">understood strategies to support communication within decision-making were identified and included </w:t>
      </w:r>
      <w:r w:rsidR="001D62ED" w:rsidRPr="00E3754A">
        <w:rPr>
          <w:lang w:val="en-AU"/>
        </w:rPr>
        <w:t xml:space="preserve">pictures, signs, or Makaton symbols (Keeling, </w:t>
      </w:r>
      <w:r w:rsidR="00CD3FF3" w:rsidRPr="00E3754A">
        <w:rPr>
          <w:lang w:val="en-AU"/>
        </w:rPr>
        <w:t xml:space="preserve">2016), </w:t>
      </w:r>
      <w:r w:rsidR="001D62ED" w:rsidRPr="00E3754A">
        <w:rPr>
          <w:lang w:val="en-AU"/>
        </w:rPr>
        <w:t>braille, and large font (Auckland Disability Law, n.d.).</w:t>
      </w:r>
      <w:r w:rsidR="00CD3FF3" w:rsidRPr="00E3754A">
        <w:rPr>
          <w:lang w:val="en-AU"/>
        </w:rPr>
        <w:t xml:space="preserve"> At a more sophisticated level, it has </w:t>
      </w:r>
      <w:r w:rsidR="00817C33" w:rsidRPr="00E3754A">
        <w:rPr>
          <w:lang w:val="en-AU"/>
        </w:rPr>
        <w:t>also been</w:t>
      </w:r>
      <w:r w:rsidR="00CD3FF3" w:rsidRPr="00E3754A">
        <w:rPr>
          <w:lang w:val="en-AU"/>
        </w:rPr>
        <w:t xml:space="preserve"> noted that a</w:t>
      </w:r>
      <w:r w:rsidR="002B1A75" w:rsidRPr="00E3754A">
        <w:rPr>
          <w:lang w:val="en-AU"/>
        </w:rPr>
        <w:t xml:space="preserve">ssistive technology is an important – but often neglected – means of providing support (Gooding et al., 2015). Technology-based communication supplements can include augmentative systems, which add to or assist existing speech or communication, and alternative systems, which provide another means of communicating (Smaill, 2016). They include: voice recognition programs, screen readers, screen enlargement, online portals, text-to-speech/speech generating devices, apps, and cognitive assistance that facilitates communication (see Gooding et al., 2015; Smaill, 2015). Even functional magnetic resonance imaging is an option for persons in minimally conscious states (see Gooding et al., 2015). </w:t>
      </w:r>
    </w:p>
    <w:p w14:paraId="21D69E92" w14:textId="33CA4D13" w:rsidR="00FD741E" w:rsidRPr="00E3754A" w:rsidRDefault="00FD741E" w:rsidP="002B1A75">
      <w:pPr>
        <w:pStyle w:val="NoSpacing"/>
        <w:rPr>
          <w:lang w:val="en-AU"/>
        </w:rPr>
      </w:pPr>
      <w:r w:rsidRPr="00E3754A">
        <w:rPr>
          <w:lang w:val="en-AU"/>
        </w:rPr>
        <w:t>Other low-tech means of support can be utili</w:t>
      </w:r>
      <w:r w:rsidR="00096600" w:rsidRPr="00E3754A">
        <w:rPr>
          <w:lang w:val="en-AU"/>
        </w:rPr>
        <w:t>s</w:t>
      </w:r>
      <w:r w:rsidRPr="00E3754A">
        <w:rPr>
          <w:lang w:val="en-AU"/>
        </w:rPr>
        <w:t>ed for the purpose of facilitating communication, including: communication boards, visual schedule boards, and rating scales (see Smaill, 2016). This also includes utilising a diverse range of non-conventional communication methods as is suitable for the person (Keeling, 2016).</w:t>
      </w:r>
    </w:p>
    <w:p w14:paraId="768C49F8" w14:textId="5AD4CDA5" w:rsidR="00FD741E" w:rsidRPr="00E3754A" w:rsidRDefault="00FD741E" w:rsidP="00FD741E">
      <w:pPr>
        <w:pStyle w:val="NoSpacing"/>
        <w:rPr>
          <w:lang w:val="en-AU"/>
        </w:rPr>
      </w:pPr>
      <w:r w:rsidRPr="00E3754A">
        <w:rPr>
          <w:lang w:val="en-AU"/>
        </w:rPr>
        <w:t xml:space="preserve">Assistive technology can </w:t>
      </w:r>
      <w:r w:rsidR="0070638D" w:rsidRPr="00E3754A">
        <w:rPr>
          <w:lang w:val="en-AU"/>
        </w:rPr>
        <w:t xml:space="preserve">be </w:t>
      </w:r>
      <w:r w:rsidRPr="00E3754A">
        <w:rPr>
          <w:lang w:val="en-AU"/>
        </w:rPr>
        <w:t xml:space="preserve">useful for conveying messages in contexts where people are not familiar with a </w:t>
      </w:r>
      <w:r w:rsidR="002C5EA2" w:rsidRPr="00E3754A">
        <w:rPr>
          <w:lang w:val="en-AU"/>
        </w:rPr>
        <w:t>disabled person</w:t>
      </w:r>
      <w:r w:rsidRPr="00E3754A">
        <w:rPr>
          <w:lang w:val="en-AU"/>
        </w:rPr>
        <w:t xml:space="preserve">’s personal communicative method (Gooding et al., 2015). </w:t>
      </w:r>
    </w:p>
    <w:p w14:paraId="1C47856B" w14:textId="7ED60E9E" w:rsidR="00936629" w:rsidRPr="00E3754A" w:rsidRDefault="00936629" w:rsidP="00FC66BF">
      <w:pPr>
        <w:pStyle w:val="Heading6"/>
        <w:rPr>
          <w:lang w:val="en-AU"/>
        </w:rPr>
      </w:pPr>
      <w:r w:rsidRPr="00E3754A">
        <w:rPr>
          <w:lang w:val="en-AU"/>
        </w:rPr>
        <w:t>Communication Passports</w:t>
      </w:r>
    </w:p>
    <w:p w14:paraId="253041D3" w14:textId="15AD3E6A" w:rsidR="00936629" w:rsidRPr="00E3754A" w:rsidRDefault="00936629" w:rsidP="00936629">
      <w:pPr>
        <w:pStyle w:val="NoSpacing"/>
        <w:rPr>
          <w:lang w:val="en-AU"/>
        </w:rPr>
      </w:pPr>
      <w:r w:rsidRPr="00E3754A">
        <w:rPr>
          <w:lang w:val="en-AU"/>
        </w:rPr>
        <w:t xml:space="preserve">Watson (2016) and Smaill (2016) both discuss communication passports as an explanatory and interpretative aid for supporters </w:t>
      </w:r>
      <w:r w:rsidR="00EB67A1" w:rsidRPr="00E3754A">
        <w:rPr>
          <w:lang w:val="en-AU"/>
        </w:rPr>
        <w:t>who</w:t>
      </w:r>
      <w:r w:rsidRPr="00E3754A">
        <w:rPr>
          <w:lang w:val="en-AU"/>
        </w:rPr>
        <w:t xml:space="preserve"> do not know the </w:t>
      </w:r>
      <w:r w:rsidR="002C5EA2" w:rsidRPr="00E3754A">
        <w:rPr>
          <w:lang w:val="en-AU"/>
        </w:rPr>
        <w:t>disabled person</w:t>
      </w:r>
      <w:r w:rsidRPr="00E3754A">
        <w:rPr>
          <w:lang w:val="en-AU"/>
        </w:rPr>
        <w:t xml:space="preserve"> closely enough to understand their expressions of agency. Communication passports are a documentation of a pers</w:t>
      </w:r>
      <w:r w:rsidR="00EB67A1" w:rsidRPr="00E3754A">
        <w:rPr>
          <w:lang w:val="en-AU"/>
        </w:rPr>
        <w:t>on’s communicative behaviours that</w:t>
      </w:r>
      <w:r w:rsidRPr="00E3754A">
        <w:rPr>
          <w:lang w:val="en-AU"/>
        </w:rPr>
        <w:t xml:space="preserve"> provide others</w:t>
      </w:r>
      <w:r w:rsidR="00EB67A1" w:rsidRPr="00E3754A">
        <w:rPr>
          <w:lang w:val="en-AU"/>
        </w:rPr>
        <w:t xml:space="preserve"> with an</w:t>
      </w:r>
      <w:r w:rsidRPr="00E3754A">
        <w:rPr>
          <w:lang w:val="en-AU"/>
        </w:rPr>
        <w:t xml:space="preserve"> understanding of how a person conveys </w:t>
      </w:r>
      <w:r w:rsidR="00AE7DB8" w:rsidRPr="00E3754A">
        <w:rPr>
          <w:lang w:val="en-AU"/>
        </w:rPr>
        <w:t xml:space="preserve">their individual </w:t>
      </w:r>
      <w:r w:rsidRPr="00E3754A">
        <w:rPr>
          <w:lang w:val="en-AU"/>
        </w:rPr>
        <w:t>likes and dislikes (Watson, 2016</w:t>
      </w:r>
      <w:r w:rsidR="00DF410D" w:rsidRPr="00E3754A">
        <w:rPr>
          <w:lang w:val="en-AU"/>
        </w:rPr>
        <w:t>a</w:t>
      </w:r>
      <w:r w:rsidRPr="00E3754A">
        <w:rPr>
          <w:lang w:val="en-AU"/>
        </w:rPr>
        <w:t xml:space="preserve">). People close to the </w:t>
      </w:r>
      <w:r w:rsidR="002C5EA2" w:rsidRPr="00E3754A">
        <w:rPr>
          <w:lang w:val="en-AU"/>
        </w:rPr>
        <w:t>disabled person</w:t>
      </w:r>
      <w:r w:rsidRPr="00E3754A">
        <w:rPr>
          <w:lang w:val="en-AU"/>
        </w:rPr>
        <w:t xml:space="preserve"> document the information in a communication passport by o</w:t>
      </w:r>
      <w:r w:rsidR="008B1611" w:rsidRPr="00E3754A">
        <w:rPr>
          <w:lang w:val="en-AU"/>
        </w:rPr>
        <w:t>b</w:t>
      </w:r>
      <w:r w:rsidRPr="00E3754A">
        <w:rPr>
          <w:lang w:val="en-AU"/>
        </w:rPr>
        <w:t xml:space="preserve">serving and analysing a </w:t>
      </w:r>
      <w:r w:rsidR="002C5EA2" w:rsidRPr="00E3754A">
        <w:rPr>
          <w:lang w:val="en-AU"/>
        </w:rPr>
        <w:t>disabled person</w:t>
      </w:r>
      <w:r w:rsidRPr="00E3754A">
        <w:rPr>
          <w:lang w:val="en-AU"/>
        </w:rPr>
        <w:t xml:space="preserve">’s behavioural and communicative cues and then </w:t>
      </w:r>
      <w:r w:rsidR="008B1611" w:rsidRPr="00E3754A">
        <w:rPr>
          <w:lang w:val="en-AU"/>
        </w:rPr>
        <w:t>translate that information</w:t>
      </w:r>
      <w:r w:rsidRPr="00E3754A">
        <w:rPr>
          <w:lang w:val="en-AU"/>
        </w:rPr>
        <w:t xml:space="preserve"> into a physical or digital format for other</w:t>
      </w:r>
      <w:r w:rsidR="0070638D" w:rsidRPr="00E3754A">
        <w:rPr>
          <w:lang w:val="en-AU"/>
        </w:rPr>
        <w:t xml:space="preserve"> people</w:t>
      </w:r>
      <w:r w:rsidRPr="00E3754A">
        <w:rPr>
          <w:lang w:val="en-AU"/>
        </w:rPr>
        <w:t xml:space="preserve"> (Watson, 2016</w:t>
      </w:r>
      <w:r w:rsidR="00DF410D" w:rsidRPr="00E3754A">
        <w:rPr>
          <w:lang w:val="en-AU"/>
        </w:rPr>
        <w:t>a</w:t>
      </w:r>
      <w:r w:rsidRPr="00E3754A">
        <w:rPr>
          <w:lang w:val="en-AU"/>
        </w:rPr>
        <w:t xml:space="preserve">). It is particularly useful for </w:t>
      </w:r>
      <w:r w:rsidR="002C5EA2" w:rsidRPr="00E3754A">
        <w:rPr>
          <w:lang w:val="en-AU"/>
        </w:rPr>
        <w:t xml:space="preserve">disabled </w:t>
      </w:r>
      <w:r w:rsidR="008B1611" w:rsidRPr="00E3754A">
        <w:rPr>
          <w:lang w:val="en-AU"/>
        </w:rPr>
        <w:t>people</w:t>
      </w:r>
      <w:r w:rsidRPr="00E3754A">
        <w:rPr>
          <w:lang w:val="en-AU"/>
        </w:rPr>
        <w:t xml:space="preserve"> who do not communicate conventionally or intentionally, such as people with </w:t>
      </w:r>
      <w:r w:rsidR="0070638D" w:rsidRPr="00E3754A">
        <w:rPr>
          <w:lang w:val="en-AU"/>
        </w:rPr>
        <w:t>‘</w:t>
      </w:r>
      <w:r w:rsidRPr="00E3754A">
        <w:rPr>
          <w:lang w:val="en-AU"/>
        </w:rPr>
        <w:t>severe and profound</w:t>
      </w:r>
      <w:r w:rsidR="0070638D" w:rsidRPr="00E3754A">
        <w:rPr>
          <w:lang w:val="en-AU"/>
        </w:rPr>
        <w:t>’</w:t>
      </w:r>
      <w:r w:rsidRPr="00E3754A">
        <w:rPr>
          <w:lang w:val="en-AU"/>
        </w:rPr>
        <w:t xml:space="preserve"> disabilities (Smaill, 2016; Watson, 2016</w:t>
      </w:r>
      <w:r w:rsidR="00DF410D" w:rsidRPr="00E3754A">
        <w:rPr>
          <w:lang w:val="en-AU"/>
        </w:rPr>
        <w:t>a</w:t>
      </w:r>
      <w:r w:rsidRPr="00E3754A">
        <w:rPr>
          <w:lang w:val="en-AU"/>
        </w:rPr>
        <w:t xml:space="preserve">). </w:t>
      </w:r>
      <w:r w:rsidR="007A084D" w:rsidRPr="00E3754A">
        <w:rPr>
          <w:lang w:val="en-AU"/>
        </w:rPr>
        <w:t>A barrier to the widespread adoption of</w:t>
      </w:r>
      <w:r w:rsidRPr="00E3754A">
        <w:rPr>
          <w:lang w:val="en-AU"/>
        </w:rPr>
        <w:t xml:space="preserve"> communication passport</w:t>
      </w:r>
      <w:r w:rsidR="007A084D" w:rsidRPr="00E3754A">
        <w:rPr>
          <w:lang w:val="en-AU"/>
        </w:rPr>
        <w:t>s</w:t>
      </w:r>
      <w:r w:rsidRPr="00E3754A">
        <w:rPr>
          <w:lang w:val="en-AU"/>
        </w:rPr>
        <w:t xml:space="preserve"> </w:t>
      </w:r>
      <w:r w:rsidR="007A084D" w:rsidRPr="00E3754A">
        <w:rPr>
          <w:lang w:val="en-AU"/>
        </w:rPr>
        <w:t xml:space="preserve">has been identified as </w:t>
      </w:r>
      <w:r w:rsidR="00384AF7" w:rsidRPr="00E3754A">
        <w:rPr>
          <w:lang w:val="en-AU"/>
        </w:rPr>
        <w:t>the demand</w:t>
      </w:r>
      <w:r w:rsidR="007A084D" w:rsidRPr="00E3754A">
        <w:rPr>
          <w:lang w:val="en-AU"/>
        </w:rPr>
        <w:t xml:space="preserve"> on</w:t>
      </w:r>
      <w:r w:rsidRPr="00E3754A">
        <w:rPr>
          <w:lang w:val="en-AU"/>
        </w:rPr>
        <w:t xml:space="preserve"> the resources and time </w:t>
      </w:r>
      <w:r w:rsidR="008B1611" w:rsidRPr="00E3754A">
        <w:rPr>
          <w:lang w:val="en-AU"/>
        </w:rPr>
        <w:t>required to gain the level of information about a person that makes the passport meaningful in a communicative and decision-making context</w:t>
      </w:r>
      <w:r w:rsidR="00F97ADF" w:rsidRPr="00E3754A">
        <w:rPr>
          <w:lang w:val="en-AU"/>
        </w:rPr>
        <w:t xml:space="preserve"> (see Watson, 2016a)</w:t>
      </w:r>
      <w:r w:rsidRPr="00E3754A">
        <w:rPr>
          <w:lang w:val="en-AU"/>
        </w:rPr>
        <w:t>.</w:t>
      </w:r>
    </w:p>
    <w:p w14:paraId="78D3C4F7" w14:textId="79C20CC4" w:rsidR="00936629" w:rsidRPr="00E3754A" w:rsidRDefault="00936629" w:rsidP="004626E1">
      <w:pPr>
        <w:pStyle w:val="Heading6"/>
        <w:rPr>
          <w:lang w:val="en-AU"/>
        </w:rPr>
      </w:pPr>
      <w:r w:rsidRPr="00E3754A">
        <w:rPr>
          <w:lang w:val="en-AU"/>
        </w:rPr>
        <w:t>Direct preference assessments</w:t>
      </w:r>
    </w:p>
    <w:p w14:paraId="6895A095" w14:textId="4C514AC0" w:rsidR="00936629" w:rsidRPr="00E3754A" w:rsidRDefault="00936629" w:rsidP="00936629">
      <w:pPr>
        <w:pStyle w:val="NoSpacing"/>
        <w:rPr>
          <w:lang w:val="en-AU"/>
        </w:rPr>
      </w:pPr>
      <w:r w:rsidRPr="00E3754A">
        <w:rPr>
          <w:lang w:val="en-AU"/>
        </w:rPr>
        <w:t xml:space="preserve">For </w:t>
      </w:r>
      <w:r w:rsidR="0070638D" w:rsidRPr="00E3754A">
        <w:rPr>
          <w:lang w:val="en-AU"/>
        </w:rPr>
        <w:t xml:space="preserve">people </w:t>
      </w:r>
      <w:r w:rsidRPr="00E3754A">
        <w:rPr>
          <w:lang w:val="en-AU"/>
        </w:rPr>
        <w:t xml:space="preserve">with severe and profound disabilities, evidence suggests that direct preference assessments can improve the expressions of agency of </w:t>
      </w:r>
      <w:r w:rsidR="002C5EA2" w:rsidRPr="00E3754A">
        <w:rPr>
          <w:lang w:val="en-AU"/>
        </w:rPr>
        <w:t xml:space="preserve">disabled </w:t>
      </w:r>
      <w:r w:rsidR="0070638D" w:rsidRPr="00E3754A">
        <w:rPr>
          <w:lang w:val="en-AU"/>
        </w:rPr>
        <w:t xml:space="preserve">people </w:t>
      </w:r>
      <w:r w:rsidRPr="00E3754A">
        <w:rPr>
          <w:lang w:val="en-AU"/>
        </w:rPr>
        <w:t>to reliably express likes and dislikes (Watson, 2016a). Another technique that is increasingly being employed in the context of the United King</w:t>
      </w:r>
      <w:r w:rsidR="00B90BDB" w:rsidRPr="00E3754A">
        <w:rPr>
          <w:lang w:val="en-AU"/>
        </w:rPr>
        <w:t>dom and the Netherlands is Multi</w:t>
      </w:r>
      <w:r w:rsidRPr="00E3754A">
        <w:rPr>
          <w:lang w:val="en-AU"/>
        </w:rPr>
        <w:t xml:space="preserve">sensory Story Telling (Watson, 2016a). </w:t>
      </w:r>
      <w:r w:rsidR="00A84EF6" w:rsidRPr="00E3754A">
        <w:rPr>
          <w:lang w:val="en-AU"/>
        </w:rPr>
        <w:t>This approach involves the creation of</w:t>
      </w:r>
      <w:r w:rsidRPr="00E3754A">
        <w:rPr>
          <w:lang w:val="en-AU"/>
        </w:rPr>
        <w:t xml:space="preserve">, a personalised story </w:t>
      </w:r>
      <w:r w:rsidR="00A84EF6" w:rsidRPr="00E3754A">
        <w:rPr>
          <w:lang w:val="en-AU"/>
        </w:rPr>
        <w:t>which is</w:t>
      </w:r>
      <w:r w:rsidRPr="00E3754A">
        <w:rPr>
          <w:lang w:val="en-AU"/>
        </w:rPr>
        <w:t xml:space="preserve"> read to the </w:t>
      </w:r>
      <w:r w:rsidR="002C5EA2" w:rsidRPr="00E3754A">
        <w:rPr>
          <w:lang w:val="en-AU"/>
        </w:rPr>
        <w:t>disabled person</w:t>
      </w:r>
      <w:r w:rsidRPr="00E3754A">
        <w:rPr>
          <w:lang w:val="en-AU"/>
        </w:rPr>
        <w:t xml:space="preserve"> to assess any reactionary patterns the </w:t>
      </w:r>
      <w:r w:rsidR="002C5EA2" w:rsidRPr="00E3754A">
        <w:rPr>
          <w:lang w:val="en-AU"/>
        </w:rPr>
        <w:t>person</w:t>
      </w:r>
      <w:r w:rsidRPr="00E3754A">
        <w:rPr>
          <w:lang w:val="en-AU"/>
        </w:rPr>
        <w:t xml:space="preserve"> has in response to the story. These reactionary patterns are </w:t>
      </w:r>
      <w:r w:rsidR="002E36D7" w:rsidRPr="00E3754A">
        <w:rPr>
          <w:lang w:val="en-AU"/>
        </w:rPr>
        <w:t>taken</w:t>
      </w:r>
      <w:r w:rsidRPr="00E3754A">
        <w:rPr>
          <w:lang w:val="en-AU"/>
        </w:rPr>
        <w:t xml:space="preserve"> to </w:t>
      </w:r>
      <w:r w:rsidR="00A779CA" w:rsidRPr="00E3754A">
        <w:rPr>
          <w:lang w:val="en-AU"/>
        </w:rPr>
        <w:t>indicate</w:t>
      </w:r>
      <w:r w:rsidRPr="00E3754A">
        <w:rPr>
          <w:lang w:val="en-AU"/>
        </w:rPr>
        <w:t xml:space="preserve"> interests, likes, and dislikes.</w:t>
      </w:r>
    </w:p>
    <w:p w14:paraId="32D16EAB" w14:textId="4F3F519E" w:rsidR="0058008D" w:rsidRPr="00E3754A" w:rsidRDefault="0058008D" w:rsidP="004626E1">
      <w:pPr>
        <w:pStyle w:val="Heading6"/>
        <w:rPr>
          <w:lang w:val="en-AU"/>
        </w:rPr>
      </w:pPr>
      <w:r w:rsidRPr="00E3754A">
        <w:rPr>
          <w:lang w:val="en-AU"/>
        </w:rPr>
        <w:t>Advance directives</w:t>
      </w:r>
    </w:p>
    <w:p w14:paraId="4D3AA09B" w14:textId="4B48EA8E" w:rsidR="00C9265F" w:rsidRPr="00E3754A" w:rsidRDefault="0058008D" w:rsidP="00C9265F">
      <w:pPr>
        <w:pStyle w:val="NoSpacing"/>
        <w:rPr>
          <w:lang w:val="en-AU"/>
        </w:rPr>
      </w:pPr>
      <w:r w:rsidRPr="00E3754A">
        <w:rPr>
          <w:lang w:val="en-AU"/>
        </w:rPr>
        <w:t xml:space="preserve">Advance directives or advance statements are also means for a person to express will and preference and act as a legal agent in advance of circumstances where they are not able to do so (see Moorhead et al., 2016; Pathare &amp; Shields, 2012; Stavert, 2015). </w:t>
      </w:r>
      <w:r w:rsidR="00C53678" w:rsidRPr="00E3754A">
        <w:rPr>
          <w:lang w:val="en-AU"/>
        </w:rPr>
        <w:t>Specifically</w:t>
      </w:r>
      <w:r w:rsidRPr="00E3754A">
        <w:rPr>
          <w:lang w:val="en-AU"/>
        </w:rPr>
        <w:t xml:space="preserve">, non-binding advance directives are a good option for </w:t>
      </w:r>
      <w:r w:rsidR="00B612AD">
        <w:rPr>
          <w:lang w:val="en-AU"/>
        </w:rPr>
        <w:t>people</w:t>
      </w:r>
      <w:r w:rsidR="00B612AD" w:rsidRPr="00E3754A">
        <w:rPr>
          <w:lang w:val="en-AU"/>
        </w:rPr>
        <w:t xml:space="preserve"> </w:t>
      </w:r>
      <w:r w:rsidRPr="00E3754A">
        <w:rPr>
          <w:lang w:val="en-AU"/>
        </w:rPr>
        <w:t>to express their will and preferences (se</w:t>
      </w:r>
      <w:r w:rsidR="00A02BF2" w:rsidRPr="00E3754A">
        <w:rPr>
          <w:lang w:val="en-AU"/>
        </w:rPr>
        <w:t xml:space="preserve">e </w:t>
      </w:r>
      <w:r w:rsidR="000A5D75" w:rsidRPr="00E3754A">
        <w:rPr>
          <w:lang w:val="en-AU"/>
        </w:rPr>
        <w:t>Carney, 2015b</w:t>
      </w:r>
      <w:r w:rsidR="00A02BF2" w:rsidRPr="00E3754A">
        <w:rPr>
          <w:lang w:val="en-AU"/>
        </w:rPr>
        <w:t>; Keeling, 2016</w:t>
      </w:r>
      <w:r w:rsidRPr="00E3754A">
        <w:rPr>
          <w:lang w:val="en-AU"/>
        </w:rPr>
        <w:t xml:space="preserve">). Non-binding advance directives enable a person to record their interests and values while allowing flexibility according to emerging changes in circumstance. Support for advanced planning is explicitly encouraged as an important form of support in the literature and </w:t>
      </w:r>
      <w:r w:rsidR="00B90BDB" w:rsidRPr="00E3754A">
        <w:rPr>
          <w:lang w:val="en-AU"/>
        </w:rPr>
        <w:t xml:space="preserve">the </w:t>
      </w:r>
      <w:r w:rsidRPr="00E3754A">
        <w:rPr>
          <w:lang w:val="en-AU"/>
        </w:rPr>
        <w:t>General Comment (</w:t>
      </w:r>
      <w:r w:rsidR="00F26BBD" w:rsidRPr="00E3754A">
        <w:rPr>
          <w:lang w:val="en-AU"/>
        </w:rPr>
        <w:t>General Comment No. 1, 2014;</w:t>
      </w:r>
      <w:r w:rsidR="004F5A59" w:rsidRPr="00E3754A">
        <w:rPr>
          <w:lang w:val="en-AU"/>
        </w:rPr>
        <w:t xml:space="preserve"> Stavert, 2015). </w:t>
      </w:r>
      <w:r w:rsidRPr="00E3754A">
        <w:rPr>
          <w:lang w:val="en-AU"/>
        </w:rPr>
        <w:t xml:space="preserve">However, advance directives have </w:t>
      </w:r>
      <w:r w:rsidR="004F5A59" w:rsidRPr="00E3754A">
        <w:rPr>
          <w:lang w:val="en-AU"/>
        </w:rPr>
        <w:t xml:space="preserve">been noted as having </w:t>
      </w:r>
      <w:r w:rsidR="00845516" w:rsidRPr="00E3754A">
        <w:rPr>
          <w:lang w:val="en-AU"/>
        </w:rPr>
        <w:t>some challenges</w:t>
      </w:r>
      <w:r w:rsidR="00984FCC" w:rsidRPr="00E3754A">
        <w:rPr>
          <w:lang w:val="en-AU"/>
        </w:rPr>
        <w:t xml:space="preserve"> to overcome in practice; specifically about the potential for others to override them, </w:t>
      </w:r>
      <w:r w:rsidR="004F5A59" w:rsidRPr="00E3754A">
        <w:rPr>
          <w:lang w:val="en-AU"/>
        </w:rPr>
        <w:t>and the fact that not many people are provided with the opportunity to develop one</w:t>
      </w:r>
      <w:r w:rsidR="00984FCC" w:rsidRPr="00E3754A">
        <w:rPr>
          <w:lang w:val="en-AU"/>
        </w:rPr>
        <w:t xml:space="preserve"> </w:t>
      </w:r>
      <w:r w:rsidRPr="00E3754A">
        <w:rPr>
          <w:lang w:val="en-AU"/>
        </w:rPr>
        <w:t>(Stavert, 2015).</w:t>
      </w:r>
    </w:p>
    <w:tbl>
      <w:tblPr>
        <w:tblStyle w:val="Style1"/>
        <w:tblW w:w="5000" w:type="pct"/>
        <w:tblLook w:val="04A0" w:firstRow="1" w:lastRow="0" w:firstColumn="1" w:lastColumn="0" w:noHBand="0" w:noVBand="1"/>
      </w:tblPr>
      <w:tblGrid>
        <w:gridCol w:w="9236"/>
      </w:tblGrid>
      <w:tr w:rsidR="00C9265F" w:rsidRPr="00E3754A" w14:paraId="1F69CF2A" w14:textId="77777777" w:rsidTr="00993A73">
        <w:tc>
          <w:tcPr>
            <w:tcW w:w="5000" w:type="pct"/>
          </w:tcPr>
          <w:p w14:paraId="5D30423C" w14:textId="75ED1A40" w:rsidR="00C9265F" w:rsidRPr="00E3754A" w:rsidRDefault="00C9265F" w:rsidP="0088725C">
            <w:pPr>
              <w:pStyle w:val="NoSpacing"/>
              <w:rPr>
                <w:lang w:val="en-AU"/>
              </w:rPr>
            </w:pPr>
            <w:r w:rsidRPr="00E3754A">
              <w:rPr>
                <w:lang w:val="en-AU"/>
              </w:rPr>
              <w:t xml:space="preserve">In a pilot project in </w:t>
            </w:r>
            <w:r w:rsidRPr="00E3754A">
              <w:rPr>
                <w:rStyle w:val="Emphasis"/>
                <w:lang w:val="en-AU"/>
              </w:rPr>
              <w:t xml:space="preserve">South Australia, </w:t>
            </w:r>
            <w:r w:rsidRPr="00E3754A">
              <w:rPr>
                <w:lang w:val="en-AU"/>
              </w:rPr>
              <w:t xml:space="preserve">disabled people </w:t>
            </w:r>
            <w:r w:rsidR="003B12BC" w:rsidRPr="00E3754A">
              <w:rPr>
                <w:lang w:val="en-AU"/>
              </w:rPr>
              <w:t>made</w:t>
            </w:r>
            <w:r w:rsidRPr="00E3754A">
              <w:rPr>
                <w:lang w:val="en-AU"/>
              </w:rPr>
              <w:t xml:space="preserve"> written support agreement</w:t>
            </w:r>
            <w:r w:rsidR="003B12BC" w:rsidRPr="00E3754A">
              <w:rPr>
                <w:lang w:val="en-AU"/>
              </w:rPr>
              <w:t>s</w:t>
            </w:r>
            <w:r w:rsidRPr="00E3754A">
              <w:rPr>
                <w:lang w:val="en-AU"/>
              </w:rPr>
              <w:t xml:space="preserve"> to describe areas where support </w:t>
            </w:r>
            <w:r w:rsidR="003B12BC" w:rsidRPr="00E3754A">
              <w:rPr>
                <w:lang w:val="en-AU"/>
              </w:rPr>
              <w:t xml:space="preserve">would be </w:t>
            </w:r>
            <w:r w:rsidRPr="00E3754A">
              <w:rPr>
                <w:lang w:val="en-AU"/>
              </w:rPr>
              <w:t xml:space="preserve">wanted and what types of support </w:t>
            </w:r>
            <w:r w:rsidR="003B12BC" w:rsidRPr="00E3754A">
              <w:rPr>
                <w:lang w:val="en-AU"/>
              </w:rPr>
              <w:t xml:space="preserve">would be </w:t>
            </w:r>
            <w:r w:rsidRPr="00E3754A">
              <w:rPr>
                <w:lang w:val="en-AU"/>
              </w:rPr>
              <w:t>needed (Office of the Public Advocate, 2011</w:t>
            </w:r>
            <w:r w:rsidR="001804B5" w:rsidRPr="00E3754A">
              <w:rPr>
                <w:lang w:val="en-AU"/>
              </w:rPr>
              <w:t>; Series et al., 2014</w:t>
            </w:r>
            <w:r w:rsidRPr="00E3754A">
              <w:rPr>
                <w:lang w:val="en-AU"/>
              </w:rPr>
              <w:t>). This is particularly useful for people with intellectual disabilities, acquired brain injuries, and neurological diseases (</w:t>
            </w:r>
            <w:r w:rsidR="00AA5ECA" w:rsidRPr="00E3754A">
              <w:rPr>
                <w:lang w:val="en-AU"/>
              </w:rPr>
              <w:t xml:space="preserve">as noted </w:t>
            </w:r>
            <w:r w:rsidRPr="00E3754A">
              <w:rPr>
                <w:lang w:val="en-AU"/>
              </w:rPr>
              <w:t xml:space="preserve">in Series, 2015). </w:t>
            </w:r>
          </w:p>
        </w:tc>
      </w:tr>
    </w:tbl>
    <w:p w14:paraId="39417214" w14:textId="5397741F" w:rsidR="00936629" w:rsidRPr="00E3754A" w:rsidRDefault="00936629" w:rsidP="004626E1">
      <w:pPr>
        <w:pStyle w:val="Heading6"/>
        <w:rPr>
          <w:lang w:val="en-AU"/>
        </w:rPr>
      </w:pPr>
      <w:r w:rsidRPr="00E3754A">
        <w:rPr>
          <w:lang w:val="en-AU"/>
        </w:rPr>
        <w:t>Decision-making support</w:t>
      </w:r>
    </w:p>
    <w:p w14:paraId="11E9AC84" w14:textId="20A85C3A" w:rsidR="00936629" w:rsidRPr="00E3754A" w:rsidRDefault="00936629" w:rsidP="00936629">
      <w:pPr>
        <w:pStyle w:val="NoSpacing"/>
        <w:rPr>
          <w:lang w:val="en-AU"/>
        </w:rPr>
      </w:pPr>
      <w:r w:rsidRPr="00E3754A">
        <w:rPr>
          <w:lang w:val="en-AU"/>
        </w:rPr>
        <w:t>Decision-making support can be employed to assist many different stages of a person’s decision-making process. First, it can be useful to identify the components of the decision-making process that can be aided. Some of these stages include: “1) framing of the situation; 2) generating possible alternative solutions; 3) evaluating potential consequences associated with each alternative; and 4) selecting a decision response” (Werner, 2012</w:t>
      </w:r>
      <w:r w:rsidR="00AC421A" w:rsidRPr="00E3754A">
        <w:rPr>
          <w:lang w:val="en-AU"/>
        </w:rPr>
        <w:t>, p. 17-18</w:t>
      </w:r>
      <w:r w:rsidRPr="00E3754A">
        <w:rPr>
          <w:lang w:val="en-AU"/>
        </w:rPr>
        <w:t>). Werner (2012) notes that visual aids can improve decision-making ability and weighing processes, including in everyday settings. Visual aids can also be digitised.</w:t>
      </w:r>
    </w:p>
    <w:p w14:paraId="782BE322" w14:textId="77777777" w:rsidR="007F1530" w:rsidRPr="00E3754A" w:rsidRDefault="0058008D" w:rsidP="00E84B4A">
      <w:pPr>
        <w:pStyle w:val="NoSpacing"/>
        <w:rPr>
          <w:lang w:val="en-AU"/>
        </w:rPr>
      </w:pPr>
      <w:r w:rsidRPr="00E3754A">
        <w:rPr>
          <w:lang w:val="en-AU"/>
        </w:rPr>
        <w:t xml:space="preserve">Talking mats </w:t>
      </w:r>
      <w:r w:rsidR="006F33F8" w:rsidRPr="00E3754A">
        <w:rPr>
          <w:lang w:val="en-AU"/>
        </w:rPr>
        <w:t>have been</w:t>
      </w:r>
      <w:r w:rsidRPr="00E3754A">
        <w:rPr>
          <w:lang w:val="en-AU"/>
        </w:rPr>
        <w:t xml:space="preserve"> discussed in the literature as being both a communicative and decision-making aid (see Smaill, 2016; Watson, 2016</w:t>
      </w:r>
      <w:r w:rsidR="002C5EA2" w:rsidRPr="00E3754A">
        <w:rPr>
          <w:lang w:val="en-AU"/>
        </w:rPr>
        <w:t>a</w:t>
      </w:r>
      <w:r w:rsidRPr="00E3754A">
        <w:rPr>
          <w:lang w:val="en-AU"/>
        </w:rPr>
        <w:t xml:space="preserve">; Werner, 2012). It </w:t>
      </w:r>
      <w:r w:rsidR="006F33F8" w:rsidRPr="00E3754A">
        <w:rPr>
          <w:lang w:val="en-AU"/>
        </w:rPr>
        <w:t>has been</w:t>
      </w:r>
      <w:r w:rsidRPr="00E3754A">
        <w:rPr>
          <w:lang w:val="en-AU"/>
        </w:rPr>
        <w:t xml:space="preserve"> proposed that Talking Mats </w:t>
      </w:r>
      <w:r w:rsidR="005E1C49" w:rsidRPr="00E3754A">
        <w:rPr>
          <w:lang w:val="en-AU"/>
        </w:rPr>
        <w:t>enable</w:t>
      </w:r>
      <w:r w:rsidRPr="00E3754A">
        <w:rPr>
          <w:lang w:val="en-AU"/>
        </w:rPr>
        <w:t xml:space="preserve"> the expression of choice (Smaill, 2016; Werner, 2012) but also that they enable </w:t>
      </w:r>
      <w:r w:rsidR="002C5EA2" w:rsidRPr="00E3754A">
        <w:rPr>
          <w:lang w:val="en-AU"/>
        </w:rPr>
        <w:t xml:space="preserve">disabled </w:t>
      </w:r>
      <w:r w:rsidR="005E1C49" w:rsidRPr="00E3754A">
        <w:rPr>
          <w:lang w:val="en-AU"/>
        </w:rPr>
        <w:t>people</w:t>
      </w:r>
      <w:r w:rsidRPr="00E3754A">
        <w:rPr>
          <w:lang w:val="en-AU"/>
        </w:rPr>
        <w:t xml:space="preserve"> to understand the different factors related to a decision (Smaill, 2016)</w:t>
      </w:r>
      <w:r w:rsidR="0030109F" w:rsidRPr="00E3754A">
        <w:rPr>
          <w:lang w:val="en-AU"/>
        </w:rPr>
        <w:t>.</w:t>
      </w:r>
    </w:p>
    <w:p w14:paraId="47B2F6CE" w14:textId="77777777" w:rsidR="00F376BB" w:rsidRPr="00E3754A" w:rsidRDefault="00F376BB" w:rsidP="00E84B4A">
      <w:pPr>
        <w:pStyle w:val="NoSpacing"/>
        <w:rPr>
          <w:lang w:val="en-AU"/>
        </w:rPr>
      </w:pPr>
    </w:p>
    <w:p w14:paraId="277EB97B" w14:textId="475B267F" w:rsidR="00094857" w:rsidRPr="00E3754A" w:rsidRDefault="00F376BB" w:rsidP="00E84B4A">
      <w:pPr>
        <w:pStyle w:val="NoSpacing"/>
        <w:rPr>
          <w:lang w:val="en-AU"/>
        </w:rPr>
      </w:pPr>
      <w:r w:rsidRPr="00E3754A">
        <w:rPr>
          <w:lang w:val="en-AU"/>
        </w:rPr>
        <w:t>This section</w:t>
      </w:r>
      <w:r w:rsidR="00092598" w:rsidRPr="00E3754A">
        <w:rPr>
          <w:lang w:val="en-AU"/>
        </w:rPr>
        <w:t xml:space="preserve"> of Part Two</w:t>
      </w:r>
      <w:r w:rsidRPr="00E3754A">
        <w:rPr>
          <w:lang w:val="en-AU"/>
        </w:rPr>
        <w:t xml:space="preserve"> examined that which has been signalled in the literature and implemented in other jurisdictions with regard to where, how, and by whom supported decision-making can be realised. The </w:t>
      </w:r>
      <w:r w:rsidR="0092209C">
        <w:rPr>
          <w:lang w:val="en-AU"/>
        </w:rPr>
        <w:t>following</w:t>
      </w:r>
      <w:r w:rsidR="0092209C" w:rsidRPr="00E3754A">
        <w:rPr>
          <w:lang w:val="en-AU"/>
        </w:rPr>
        <w:t xml:space="preserve"> </w:t>
      </w:r>
      <w:r w:rsidRPr="00E3754A">
        <w:rPr>
          <w:lang w:val="en-AU"/>
        </w:rPr>
        <w:t xml:space="preserve">sections explore other aspects of supported decision-making: reasonable accommodation as a necessary practice within the framework, impacts on disabled people, and safeguards and issues for the framework. </w:t>
      </w:r>
      <w:r w:rsidR="00094857" w:rsidRPr="00E3754A">
        <w:rPr>
          <w:lang w:val="en-AU"/>
        </w:rPr>
        <w:br w:type="page"/>
      </w:r>
    </w:p>
    <w:tbl>
      <w:tblPr>
        <w:tblStyle w:val="Style5"/>
        <w:tblW w:w="5000" w:type="pct"/>
        <w:tblLook w:val="04A0" w:firstRow="1" w:lastRow="0" w:firstColumn="1" w:lastColumn="0" w:noHBand="0" w:noVBand="1"/>
      </w:tblPr>
      <w:tblGrid>
        <w:gridCol w:w="9236"/>
      </w:tblGrid>
      <w:tr w:rsidR="009679FA" w:rsidRPr="00E3754A" w14:paraId="51E4045A" w14:textId="77777777" w:rsidTr="00CD1BD0">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4DDDD292" w14:textId="48E1DB12" w:rsidR="009679FA" w:rsidRPr="00E3754A" w:rsidRDefault="009679FA">
            <w:pPr>
              <w:pStyle w:val="Heading3"/>
              <w:tabs>
                <w:tab w:val="left" w:pos="720"/>
                <w:tab w:val="left" w:pos="1440"/>
                <w:tab w:val="left" w:pos="2160"/>
                <w:tab w:val="left" w:pos="6287"/>
              </w:tabs>
              <w:rPr>
                <w:lang w:val="en-AU"/>
              </w:rPr>
            </w:pPr>
            <w:bookmarkStart w:id="64" w:name="_Toc337970295"/>
            <w:bookmarkStart w:id="65" w:name="_Toc339036861"/>
            <w:r w:rsidRPr="00E3754A">
              <w:rPr>
                <w:lang w:val="en-AU"/>
              </w:rPr>
              <w:t xml:space="preserve">Reasonable accommodation </w:t>
            </w:r>
            <w:r w:rsidR="009D50CD" w:rsidRPr="00E3754A">
              <w:rPr>
                <w:lang w:val="en-AU"/>
              </w:rPr>
              <w:t xml:space="preserve">and </w:t>
            </w:r>
            <w:r w:rsidRPr="00E3754A">
              <w:rPr>
                <w:lang w:val="en-AU"/>
              </w:rPr>
              <w:t xml:space="preserve">will </w:t>
            </w:r>
            <w:r w:rsidR="009D50CD" w:rsidRPr="00E3754A">
              <w:rPr>
                <w:lang w:val="en-AU"/>
              </w:rPr>
              <w:t xml:space="preserve">and </w:t>
            </w:r>
            <w:r w:rsidRPr="00E3754A">
              <w:rPr>
                <w:lang w:val="en-AU"/>
              </w:rPr>
              <w:t>preference</w:t>
            </w:r>
            <w:bookmarkEnd w:id="64"/>
            <w:bookmarkEnd w:id="65"/>
          </w:p>
        </w:tc>
      </w:tr>
    </w:tbl>
    <w:p w14:paraId="375CA749" w14:textId="057932FB" w:rsidR="00E8034B" w:rsidRPr="00E3754A" w:rsidRDefault="005576DF" w:rsidP="00E8034B">
      <w:pPr>
        <w:pStyle w:val="NoSpacing"/>
        <w:rPr>
          <w:lang w:val="en-AU"/>
        </w:rPr>
      </w:pPr>
      <w:r w:rsidRPr="00E3754A">
        <w:rPr>
          <w:lang w:val="en-AU"/>
        </w:rPr>
        <w:t xml:space="preserve">This section </w:t>
      </w:r>
      <w:r w:rsidR="0092209C">
        <w:rPr>
          <w:lang w:val="en-AU"/>
        </w:rPr>
        <w:t>explores</w:t>
      </w:r>
      <w:r w:rsidRPr="00E3754A">
        <w:rPr>
          <w:lang w:val="en-AU"/>
        </w:rPr>
        <w:t xml:space="preserve"> the discourse on reasonable accommodation and support for disabled people’s exercise of legal capacity </w:t>
      </w:r>
      <w:r w:rsidR="00592F7B" w:rsidRPr="00E3754A">
        <w:rPr>
          <w:lang w:val="en-AU"/>
        </w:rPr>
        <w:t xml:space="preserve">and </w:t>
      </w:r>
      <w:r w:rsidR="006C1AEB" w:rsidRPr="00E3754A">
        <w:rPr>
          <w:lang w:val="en-AU"/>
        </w:rPr>
        <w:t xml:space="preserve">in </w:t>
      </w:r>
      <w:r w:rsidR="00592F7B" w:rsidRPr="00E3754A">
        <w:rPr>
          <w:lang w:val="en-AU"/>
        </w:rPr>
        <w:t xml:space="preserve">doing so is </w:t>
      </w:r>
      <w:r w:rsidR="00B45E1B" w:rsidRPr="00E3754A">
        <w:rPr>
          <w:lang w:val="en-AU"/>
        </w:rPr>
        <w:t>intended</w:t>
      </w:r>
      <w:r w:rsidR="00592F7B" w:rsidRPr="00E3754A">
        <w:rPr>
          <w:lang w:val="en-AU"/>
        </w:rPr>
        <w:t xml:space="preserve"> to address </w:t>
      </w:r>
      <w:r w:rsidR="006D545F" w:rsidRPr="00E3754A">
        <w:rPr>
          <w:lang w:val="en-AU"/>
        </w:rPr>
        <w:t xml:space="preserve">Question </w:t>
      </w:r>
      <w:r w:rsidRPr="00E3754A">
        <w:rPr>
          <w:lang w:val="en-AU"/>
        </w:rPr>
        <w:t>10</w:t>
      </w:r>
      <w:r w:rsidR="00592F7B" w:rsidRPr="00E3754A">
        <w:rPr>
          <w:lang w:val="en-AU"/>
        </w:rPr>
        <w:t xml:space="preserve">. </w:t>
      </w:r>
      <w:r w:rsidR="00E8034B" w:rsidRPr="00E3754A">
        <w:rPr>
          <w:i/>
          <w:lang w:val="en-AU"/>
        </w:rPr>
        <w:t xml:space="preserve">Reasonable accommodation </w:t>
      </w:r>
      <w:r w:rsidR="00E8034B" w:rsidRPr="00E3754A">
        <w:rPr>
          <w:lang w:val="en-AU"/>
        </w:rPr>
        <w:t>is any modification, change or alteration at the system-level in</w:t>
      </w:r>
      <w:r w:rsidR="00EC03FD" w:rsidRPr="00E3754A">
        <w:rPr>
          <w:lang w:val="en-AU"/>
        </w:rPr>
        <w:t xml:space="preserve">tended to specifically address </w:t>
      </w:r>
      <w:r w:rsidR="00D86544">
        <w:rPr>
          <w:lang w:val="en-AU"/>
        </w:rPr>
        <w:t xml:space="preserve">a </w:t>
      </w:r>
      <w:r w:rsidR="00EC03FD" w:rsidRPr="00E3754A">
        <w:rPr>
          <w:lang w:val="en-AU"/>
        </w:rPr>
        <w:t>disabled person</w:t>
      </w:r>
      <w:r w:rsidR="00D86544">
        <w:rPr>
          <w:lang w:val="en-AU"/>
        </w:rPr>
        <w:t>’</w:t>
      </w:r>
      <w:r w:rsidR="00BF7B11" w:rsidRPr="00E3754A">
        <w:rPr>
          <w:lang w:val="en-AU"/>
        </w:rPr>
        <w:t>s need</w:t>
      </w:r>
      <w:r w:rsidR="00EC03FD" w:rsidRPr="00E3754A">
        <w:rPr>
          <w:lang w:val="en-AU"/>
        </w:rPr>
        <w:t>s</w:t>
      </w:r>
      <w:r w:rsidR="00BF7B11" w:rsidRPr="00E3754A">
        <w:rPr>
          <w:lang w:val="en-AU"/>
        </w:rPr>
        <w:t xml:space="preserve"> </w:t>
      </w:r>
      <w:r w:rsidR="00E8034B" w:rsidRPr="00E3754A">
        <w:rPr>
          <w:lang w:val="en-AU"/>
        </w:rPr>
        <w:t>(</w:t>
      </w:r>
      <w:r w:rsidR="00152D35" w:rsidRPr="00E3754A">
        <w:rPr>
          <w:lang w:val="en-AU"/>
        </w:rPr>
        <w:t>New Zealand Human Rights Commission et al.</w:t>
      </w:r>
      <w:r w:rsidR="00E8034B" w:rsidRPr="00E3754A">
        <w:rPr>
          <w:lang w:val="en-AU"/>
        </w:rPr>
        <w:t>,</w:t>
      </w:r>
      <w:r w:rsidR="00E93D7D" w:rsidRPr="00E3754A">
        <w:rPr>
          <w:lang w:val="en-AU"/>
        </w:rPr>
        <w:t xml:space="preserve"> </w:t>
      </w:r>
      <w:r w:rsidR="00FB72AD" w:rsidRPr="00E3754A">
        <w:rPr>
          <w:lang w:val="en-AU"/>
        </w:rPr>
        <w:t>2015</w:t>
      </w:r>
      <w:r w:rsidR="00E93D7D" w:rsidRPr="00E3754A">
        <w:rPr>
          <w:lang w:val="en-AU"/>
        </w:rPr>
        <w:t>;</w:t>
      </w:r>
      <w:r w:rsidR="00E8034B" w:rsidRPr="00E3754A">
        <w:rPr>
          <w:lang w:val="en-AU"/>
        </w:rPr>
        <w:t xml:space="preserve"> </w:t>
      </w:r>
      <w:r w:rsidR="00E93D7D" w:rsidRPr="00E3754A">
        <w:rPr>
          <w:lang w:val="en-AU"/>
        </w:rPr>
        <w:t>Bach &amp; Kerzner, 2010;</w:t>
      </w:r>
      <w:r w:rsidR="003523E5" w:rsidRPr="00E3754A">
        <w:rPr>
          <w:lang w:val="en-AU"/>
        </w:rPr>
        <w:t xml:space="preserve"> Browning et al., 2014;</w:t>
      </w:r>
      <w:r w:rsidR="00E93D7D" w:rsidRPr="00E3754A">
        <w:rPr>
          <w:lang w:val="en-AU"/>
        </w:rPr>
        <w:t xml:space="preserve"> </w:t>
      </w:r>
      <w:r w:rsidR="00C53678" w:rsidRPr="00E3754A">
        <w:rPr>
          <w:lang w:val="en-AU"/>
        </w:rPr>
        <w:t>Byrnes et al., 2007</w:t>
      </w:r>
      <w:r w:rsidR="00E8034B" w:rsidRPr="00E3754A">
        <w:rPr>
          <w:lang w:val="en-AU"/>
        </w:rPr>
        <w:t>)</w:t>
      </w:r>
      <w:r w:rsidR="00BF7B11" w:rsidRPr="00E3754A">
        <w:rPr>
          <w:lang w:val="en-AU"/>
        </w:rPr>
        <w:t>.</w:t>
      </w:r>
      <w:r w:rsidR="00CF6D53" w:rsidRPr="00E3754A">
        <w:rPr>
          <w:lang w:val="en-AU"/>
        </w:rPr>
        <w:t xml:space="preserve"> Accommodations serve</w:t>
      </w:r>
      <w:r w:rsidR="00886EBC" w:rsidRPr="00E3754A">
        <w:rPr>
          <w:lang w:val="en-AU"/>
        </w:rPr>
        <w:t xml:space="preserve"> to create an ‘enabling environment’ (Perlin, 2013), that is, it serves</w:t>
      </w:r>
      <w:r w:rsidR="00CF6D53" w:rsidRPr="00E3754A">
        <w:rPr>
          <w:lang w:val="en-AU"/>
        </w:rPr>
        <w:t xml:space="preserve"> to optimise the disabled person’s decision-making process and participation in decision-making (Kerzner</w:t>
      </w:r>
      <w:r w:rsidR="00886EBC" w:rsidRPr="00E3754A">
        <w:rPr>
          <w:lang w:val="en-AU"/>
        </w:rPr>
        <w:t>, 2011</w:t>
      </w:r>
      <w:r w:rsidR="00CF6D53" w:rsidRPr="00E3754A">
        <w:rPr>
          <w:lang w:val="en-AU"/>
        </w:rPr>
        <w:t>).</w:t>
      </w:r>
      <w:r w:rsidR="00E8034B" w:rsidRPr="00E3754A">
        <w:rPr>
          <w:lang w:val="en-AU"/>
        </w:rPr>
        <w:t xml:space="preserve"> The provision is set out under Article 2 of the Convention, defining a ‘reasonable accommodation’ as:</w:t>
      </w:r>
    </w:p>
    <w:p w14:paraId="788A7162" w14:textId="4B1A1353" w:rsidR="00E8034B" w:rsidRPr="00E3754A" w:rsidRDefault="00E8034B" w:rsidP="006E5646">
      <w:pPr>
        <w:pStyle w:val="NoSpacing"/>
        <w:numPr>
          <w:ilvl w:val="0"/>
          <w:numId w:val="25"/>
        </w:numPr>
        <w:rPr>
          <w:lang w:val="en-AU"/>
        </w:rPr>
      </w:pPr>
      <w:r w:rsidRPr="00E3754A">
        <w:rPr>
          <w:lang w:val="en-AU"/>
        </w:rPr>
        <w:t xml:space="preserve">necessary and appropriate modification and adjustments; </w:t>
      </w:r>
    </w:p>
    <w:p w14:paraId="722CC2F2" w14:textId="42642561" w:rsidR="00E8034B" w:rsidRPr="00E3754A" w:rsidRDefault="00E8034B" w:rsidP="006E5646">
      <w:pPr>
        <w:pStyle w:val="NoSpacing"/>
        <w:numPr>
          <w:ilvl w:val="0"/>
          <w:numId w:val="25"/>
        </w:numPr>
        <w:rPr>
          <w:lang w:val="en-AU"/>
        </w:rPr>
      </w:pPr>
      <w:r w:rsidRPr="00E3754A">
        <w:rPr>
          <w:lang w:val="en-AU"/>
        </w:rPr>
        <w:t xml:space="preserve">not imposing a disproportionate or undue burden; </w:t>
      </w:r>
    </w:p>
    <w:p w14:paraId="3A3FB1FB" w14:textId="16FAC5FE" w:rsidR="00E8034B" w:rsidRPr="00E3754A" w:rsidRDefault="00E8034B" w:rsidP="006E5646">
      <w:pPr>
        <w:pStyle w:val="NoSpacing"/>
        <w:numPr>
          <w:ilvl w:val="0"/>
          <w:numId w:val="25"/>
        </w:numPr>
        <w:rPr>
          <w:lang w:val="en-AU"/>
        </w:rPr>
      </w:pPr>
      <w:r w:rsidRPr="00E3754A">
        <w:rPr>
          <w:lang w:val="en-AU"/>
        </w:rPr>
        <w:t xml:space="preserve">where needed in a particular case; </w:t>
      </w:r>
    </w:p>
    <w:p w14:paraId="10734A79" w14:textId="6B901E43" w:rsidR="005576DF" w:rsidRPr="00E3754A" w:rsidRDefault="00E8034B" w:rsidP="006E5646">
      <w:pPr>
        <w:pStyle w:val="NoSpacing"/>
        <w:numPr>
          <w:ilvl w:val="0"/>
          <w:numId w:val="25"/>
        </w:numPr>
        <w:rPr>
          <w:lang w:val="en-AU"/>
        </w:rPr>
      </w:pPr>
      <w:r w:rsidRPr="00E3754A">
        <w:rPr>
          <w:lang w:val="en-AU"/>
        </w:rPr>
        <w:t>ensu</w:t>
      </w:r>
      <w:r w:rsidR="00EC03FD" w:rsidRPr="00E3754A">
        <w:rPr>
          <w:lang w:val="en-AU"/>
        </w:rPr>
        <w:t>ring</w:t>
      </w:r>
      <w:r w:rsidRPr="00E3754A">
        <w:rPr>
          <w:lang w:val="en-AU"/>
        </w:rPr>
        <w:t xml:space="preserve"> to persons with disabilities the enjoyment or exercise on an equal basis with others of all human rights and fundamental freedoms. </w:t>
      </w:r>
    </w:p>
    <w:p w14:paraId="7CFCE9EB" w14:textId="78DF93D0" w:rsidR="00F53FC7" w:rsidRPr="00E3754A" w:rsidRDefault="00CF6D53" w:rsidP="005F7610">
      <w:pPr>
        <w:pStyle w:val="NoSpacing"/>
        <w:rPr>
          <w:lang w:val="en-AU"/>
        </w:rPr>
      </w:pPr>
      <w:r w:rsidRPr="00E3754A">
        <w:rPr>
          <w:lang w:val="en-AU"/>
        </w:rPr>
        <w:t>Kerzner (2011) argues that communicati</w:t>
      </w:r>
      <w:r w:rsidR="00FD72D2" w:rsidRPr="00E3754A">
        <w:rPr>
          <w:lang w:val="en-AU"/>
        </w:rPr>
        <w:t>on</w:t>
      </w:r>
      <w:r w:rsidRPr="00E3754A">
        <w:rPr>
          <w:lang w:val="en-AU"/>
        </w:rPr>
        <w:t xml:space="preserve"> and decision-making assistance also falls under the purview of </w:t>
      </w:r>
      <w:r w:rsidR="00BA7D86" w:rsidRPr="00BA7D86">
        <w:rPr>
          <w:lang w:val="en-AU"/>
        </w:rPr>
        <w:t>accommodating</w:t>
      </w:r>
      <w:r w:rsidRPr="00E3754A">
        <w:rPr>
          <w:lang w:val="en-AU"/>
        </w:rPr>
        <w:t xml:space="preserve"> for disabled people. </w:t>
      </w:r>
      <w:r w:rsidR="00EC03FD" w:rsidRPr="00E3754A">
        <w:rPr>
          <w:lang w:val="en-AU"/>
        </w:rPr>
        <w:t>It means that states parties such as New Zealand</w:t>
      </w:r>
      <w:r w:rsidR="00592F7B" w:rsidRPr="00E3754A">
        <w:rPr>
          <w:lang w:val="en-AU"/>
        </w:rPr>
        <w:t>,</w:t>
      </w:r>
      <w:r w:rsidR="00EC03FD" w:rsidRPr="00E3754A">
        <w:rPr>
          <w:lang w:val="en-AU"/>
        </w:rPr>
        <w:t xml:space="preserve"> and the private sector</w:t>
      </w:r>
      <w:r w:rsidR="00592F7B" w:rsidRPr="00E3754A">
        <w:rPr>
          <w:lang w:val="en-AU"/>
        </w:rPr>
        <w:t>,</w:t>
      </w:r>
      <w:r w:rsidR="00EC03FD" w:rsidRPr="00E3754A">
        <w:rPr>
          <w:lang w:val="en-AU"/>
        </w:rPr>
        <w:t xml:space="preserve"> must facilitate access to support and make provisions for a wide range of supports to suit people’s diverse needs (</w:t>
      </w:r>
      <w:r w:rsidR="00226FC0" w:rsidRPr="00E3754A">
        <w:rPr>
          <w:lang w:val="en-AU"/>
        </w:rPr>
        <w:t xml:space="preserve">see Arstein-Kerslake, 2014; </w:t>
      </w:r>
      <w:r w:rsidR="00EC03FD" w:rsidRPr="00E3754A">
        <w:rPr>
          <w:lang w:val="en-AU"/>
        </w:rPr>
        <w:t>Bach &amp; Kerzner, 2010; Byrnes et al., 2007</w:t>
      </w:r>
      <w:r w:rsidR="008F585D" w:rsidRPr="00E3754A">
        <w:rPr>
          <w:lang w:val="en-AU"/>
        </w:rPr>
        <w:t>; Kerzner, 2011</w:t>
      </w:r>
      <w:r w:rsidR="00EC03FD" w:rsidRPr="00E3754A">
        <w:rPr>
          <w:lang w:val="en-AU"/>
        </w:rPr>
        <w:t>).</w:t>
      </w:r>
      <w:r w:rsidR="00C76D2A" w:rsidRPr="00E3754A">
        <w:rPr>
          <w:lang w:val="en-AU"/>
        </w:rPr>
        <w:t xml:space="preserve"> According to the Handbook for Parliamentarians (Byrnes et al., 2007), reasonable accommodation is seen as a necessary step towards giving effect to protecting the rights of disabled people, including the right to equal recognition under law in Article 12, and </w:t>
      </w:r>
      <w:r w:rsidR="003C5BF7" w:rsidRPr="00E3754A">
        <w:rPr>
          <w:lang w:val="en-AU"/>
        </w:rPr>
        <w:t>safeguarding</w:t>
      </w:r>
      <w:r w:rsidR="00C76D2A" w:rsidRPr="00E3754A">
        <w:rPr>
          <w:lang w:val="en-AU"/>
        </w:rPr>
        <w:t xml:space="preserve"> against mistreatment and abuse</w:t>
      </w:r>
      <w:r w:rsidR="00BE6FFF" w:rsidRPr="00E3754A">
        <w:rPr>
          <w:lang w:val="en-AU"/>
        </w:rPr>
        <w:t xml:space="preserve"> (also see Nilsson, 2012)</w:t>
      </w:r>
      <w:r w:rsidR="00C76D2A" w:rsidRPr="00E3754A">
        <w:rPr>
          <w:lang w:val="en-AU"/>
        </w:rPr>
        <w:t>.</w:t>
      </w:r>
      <w:r w:rsidR="00F53FC7" w:rsidRPr="00E3754A">
        <w:rPr>
          <w:lang w:val="en-AU"/>
        </w:rPr>
        <w:t xml:space="preserve"> Lang et al. (2011) </w:t>
      </w:r>
      <w:r w:rsidR="00524431" w:rsidRPr="00E3754A">
        <w:rPr>
          <w:lang w:val="en-AU"/>
        </w:rPr>
        <w:t>and WNUSP (2008</w:t>
      </w:r>
      <w:r w:rsidR="00F53FC7" w:rsidRPr="00E3754A">
        <w:rPr>
          <w:lang w:val="en-AU"/>
        </w:rPr>
        <w:t xml:space="preserve">) argue that disabled people and DPOs need to be included in implementing the supported decision-making framework and initiatives for reasonable </w:t>
      </w:r>
      <w:r w:rsidR="00BA7D86" w:rsidRPr="00BA7D86">
        <w:rPr>
          <w:lang w:val="en-AU"/>
        </w:rPr>
        <w:t>accommodation</w:t>
      </w:r>
      <w:r w:rsidR="00F53FC7" w:rsidRPr="00E3754A">
        <w:rPr>
          <w:lang w:val="en-AU"/>
        </w:rPr>
        <w:t>.</w:t>
      </w:r>
    </w:p>
    <w:tbl>
      <w:tblPr>
        <w:tblStyle w:val="Style1"/>
        <w:tblW w:w="5000" w:type="pct"/>
        <w:tblLook w:val="04A0" w:firstRow="1" w:lastRow="0" w:firstColumn="1" w:lastColumn="0" w:noHBand="0" w:noVBand="1"/>
      </w:tblPr>
      <w:tblGrid>
        <w:gridCol w:w="9236"/>
      </w:tblGrid>
      <w:tr w:rsidR="005F7610" w:rsidRPr="00E3754A" w14:paraId="493B9B5A" w14:textId="77777777" w:rsidTr="005F7610">
        <w:tc>
          <w:tcPr>
            <w:tcW w:w="5000" w:type="pct"/>
          </w:tcPr>
          <w:p w14:paraId="3BABCF47" w14:textId="65F9E59E" w:rsidR="005F7610" w:rsidRPr="00E3754A" w:rsidRDefault="005F7610" w:rsidP="005F7610">
            <w:pPr>
              <w:pStyle w:val="NoSpacing"/>
              <w:rPr>
                <w:lang w:val="en-AU"/>
              </w:rPr>
            </w:pPr>
            <w:r w:rsidRPr="00E3754A">
              <w:rPr>
                <w:rStyle w:val="Emphasis"/>
                <w:lang w:val="en-AU"/>
              </w:rPr>
              <w:t>Spain</w:t>
            </w:r>
            <w:r w:rsidRPr="00E3754A">
              <w:rPr>
                <w:lang w:val="en-AU"/>
              </w:rPr>
              <w:t xml:space="preserve"> made provisions to recognise reasonable accommodation within its legal framework</w:t>
            </w:r>
            <w:r w:rsidR="004D3874" w:rsidRPr="00E3754A">
              <w:rPr>
                <w:lang w:val="en-AU"/>
              </w:rPr>
              <w:t>. In The Equal Opportunities Law 51/2003 defines</w:t>
            </w:r>
            <w:r w:rsidR="003C5BF7" w:rsidRPr="00E3754A">
              <w:rPr>
                <w:lang w:val="en-AU"/>
              </w:rPr>
              <w:t xml:space="preserve"> it as</w:t>
            </w:r>
            <w:r w:rsidR="004D3874" w:rsidRPr="00E3754A">
              <w:rPr>
                <w:lang w:val="en-AU"/>
              </w:rPr>
              <w:t xml:space="preserve"> “the necessary measures in order to adapt the physical and social environment and the behaviour patterns to the special needs of the persons with disability, which, effectively and practically and not implying a disproportionate burden, facilitate the accessibility and participation of the persons with disability upon equal conditions as the other citizens”</w:t>
            </w:r>
          </w:p>
        </w:tc>
      </w:tr>
    </w:tbl>
    <w:p w14:paraId="5780000A" w14:textId="39183BF6" w:rsidR="005576DF" w:rsidRPr="00E3754A" w:rsidRDefault="005576DF">
      <w:pPr>
        <w:spacing w:line="240" w:lineRule="auto"/>
        <w:jc w:val="left"/>
        <w:rPr>
          <w:lang w:val="en-AU"/>
        </w:rPr>
      </w:pPr>
    </w:p>
    <w:tbl>
      <w:tblPr>
        <w:tblStyle w:val="Style5"/>
        <w:tblW w:w="5000" w:type="pct"/>
        <w:tblLook w:val="04A0" w:firstRow="1" w:lastRow="0" w:firstColumn="1" w:lastColumn="0" w:noHBand="0" w:noVBand="1"/>
      </w:tblPr>
      <w:tblGrid>
        <w:gridCol w:w="9236"/>
      </w:tblGrid>
      <w:tr w:rsidR="00AD6745" w:rsidRPr="00E3754A" w14:paraId="25310C23" w14:textId="77777777" w:rsidTr="00CD1BD0">
        <w:tc>
          <w:tcPr>
            <w:tcW w:w="5000" w:type="pct"/>
          </w:tcPr>
          <w:p w14:paraId="78B3CF9F" w14:textId="4351B416" w:rsidR="00AD6745" w:rsidRPr="00E3754A" w:rsidRDefault="0011107B" w:rsidP="00CD1BD0">
            <w:pPr>
              <w:pStyle w:val="Heading1"/>
              <w:rPr>
                <w:lang w:val="en-AU"/>
              </w:rPr>
            </w:pPr>
            <w:bookmarkStart w:id="66" w:name="_Toc337970296"/>
            <w:bookmarkStart w:id="67" w:name="_Toc339036862"/>
            <w:r w:rsidRPr="00E3754A">
              <w:rPr>
                <w:lang w:val="en-AU"/>
              </w:rPr>
              <w:t xml:space="preserve">Impacts of </w:t>
            </w:r>
            <w:r w:rsidR="00E25393" w:rsidRPr="00E3754A">
              <w:rPr>
                <w:lang w:val="en-AU"/>
              </w:rPr>
              <w:t>supported decision-making</w:t>
            </w:r>
            <w:r w:rsidRPr="00E3754A">
              <w:rPr>
                <w:lang w:val="en-AU"/>
              </w:rPr>
              <w:t xml:space="preserve"> </w:t>
            </w:r>
            <w:r w:rsidR="00E25393" w:rsidRPr="00E3754A">
              <w:rPr>
                <w:lang w:val="en-AU"/>
              </w:rPr>
              <w:t xml:space="preserve">in </w:t>
            </w:r>
            <w:r w:rsidRPr="00E3754A">
              <w:rPr>
                <w:lang w:val="en-AU"/>
              </w:rPr>
              <w:t>practice</w:t>
            </w:r>
            <w:bookmarkEnd w:id="66"/>
            <w:bookmarkEnd w:id="67"/>
          </w:p>
        </w:tc>
      </w:tr>
    </w:tbl>
    <w:p w14:paraId="24F3B309" w14:textId="770660B1" w:rsidR="0011107B" w:rsidRPr="00E3754A" w:rsidRDefault="0011107B" w:rsidP="0011107B">
      <w:pPr>
        <w:pStyle w:val="NoSpacing"/>
        <w:rPr>
          <w:lang w:val="en-AU"/>
        </w:rPr>
      </w:pPr>
      <w:r w:rsidRPr="00E3754A">
        <w:rPr>
          <w:lang w:val="en-AU"/>
        </w:rPr>
        <w:t xml:space="preserve">Pilot programs and empirical research into support and supported </w:t>
      </w:r>
      <w:r w:rsidR="008A4EDF" w:rsidRPr="00E3754A">
        <w:rPr>
          <w:lang w:val="en-AU"/>
        </w:rPr>
        <w:t>decision-making are</w:t>
      </w:r>
      <w:r w:rsidRPr="00E3754A">
        <w:rPr>
          <w:lang w:val="en-AU"/>
        </w:rPr>
        <w:t xml:space="preserve"> currently lacking (Gooding, 2015)</w:t>
      </w:r>
      <w:r w:rsidR="00B52C0B">
        <w:rPr>
          <w:lang w:val="en-AU"/>
        </w:rPr>
        <w:t xml:space="preserve"> and more research is needed to assess how supported decision-making measures can meet their objectives (Douglass, 2016)</w:t>
      </w:r>
      <w:r w:rsidRPr="00E3754A">
        <w:rPr>
          <w:lang w:val="en-AU"/>
        </w:rPr>
        <w:t xml:space="preserve">. As </w:t>
      </w:r>
      <w:r w:rsidR="00592F7B" w:rsidRPr="00E3754A">
        <w:rPr>
          <w:lang w:val="en-AU"/>
        </w:rPr>
        <w:t xml:space="preserve">at </w:t>
      </w:r>
      <w:r w:rsidRPr="00E3754A">
        <w:rPr>
          <w:lang w:val="en-AU"/>
        </w:rPr>
        <w:t xml:space="preserve">2014, Browning et al. (2014) and Kohn &amp; Blumenthal (2014) </w:t>
      </w:r>
      <w:r w:rsidR="00AD6F08" w:rsidRPr="00E3754A">
        <w:rPr>
          <w:lang w:val="en-AU"/>
        </w:rPr>
        <w:t>reported finding</w:t>
      </w:r>
      <w:r w:rsidRPr="00E3754A">
        <w:rPr>
          <w:lang w:val="en-AU"/>
        </w:rPr>
        <w:t xml:space="preserve"> no evidence </w:t>
      </w:r>
      <w:r w:rsidR="0067703F" w:rsidRPr="00E3754A">
        <w:rPr>
          <w:lang w:val="en-AU"/>
        </w:rPr>
        <w:t>of</w:t>
      </w:r>
      <w:r w:rsidR="008A4EDF" w:rsidRPr="00E3754A">
        <w:rPr>
          <w:lang w:val="en-AU"/>
        </w:rPr>
        <w:t xml:space="preserve"> the impact</w:t>
      </w:r>
      <w:r w:rsidRPr="00E3754A">
        <w:rPr>
          <w:lang w:val="en-AU"/>
        </w:rPr>
        <w:t xml:space="preserve"> supported decision-making could have on </w:t>
      </w:r>
      <w:r w:rsidR="002C5EA2" w:rsidRPr="00E3754A">
        <w:rPr>
          <w:lang w:val="en-AU"/>
        </w:rPr>
        <w:t>disabled person</w:t>
      </w:r>
      <w:r w:rsidRPr="00E3754A">
        <w:rPr>
          <w:lang w:val="en-AU"/>
        </w:rPr>
        <w:t xml:space="preserve">s exercising legal agency. Yet, Jameson et al. (2015) claimed that there was an ‘extensive’ amount of literature on the positive effects of supported decision-making. However, this issue is not solely isolated to the supported decision-making model; </w:t>
      </w:r>
      <w:r w:rsidR="00AD6F08" w:rsidRPr="00E3754A">
        <w:rPr>
          <w:lang w:val="en-AU"/>
        </w:rPr>
        <w:t xml:space="preserve">few studies have interrogated the impact of </w:t>
      </w:r>
      <w:r w:rsidRPr="00E3754A">
        <w:rPr>
          <w:lang w:val="en-AU"/>
        </w:rPr>
        <w:t>substituted decision-making, including guardianship and provisions for best interest me</w:t>
      </w:r>
      <w:r w:rsidR="00AD6F08" w:rsidRPr="00E3754A">
        <w:rPr>
          <w:lang w:val="en-AU"/>
        </w:rPr>
        <w:t xml:space="preserve">asures </w:t>
      </w:r>
      <w:r w:rsidRPr="00E3754A">
        <w:rPr>
          <w:lang w:val="en-AU"/>
        </w:rPr>
        <w:t xml:space="preserve">(Gooding, 2015; Kohn et al., 2013). As the literature notes, the </w:t>
      </w:r>
      <w:r w:rsidR="00830364" w:rsidRPr="00E3754A">
        <w:rPr>
          <w:lang w:val="en-AU"/>
        </w:rPr>
        <w:t>lack of strong, empirical evidence continues to remain</w:t>
      </w:r>
      <w:r w:rsidRPr="00E3754A">
        <w:rPr>
          <w:lang w:val="en-AU"/>
        </w:rPr>
        <w:t xml:space="preserve"> a challenge to </w:t>
      </w:r>
      <w:r w:rsidR="00830364" w:rsidRPr="00E3754A">
        <w:rPr>
          <w:lang w:val="en-AU"/>
        </w:rPr>
        <w:t>the implementation of robust</w:t>
      </w:r>
      <w:r w:rsidRPr="00E3754A">
        <w:rPr>
          <w:lang w:val="en-AU"/>
        </w:rPr>
        <w:t xml:space="preserve"> policy and law reforms (Gooding, 2015). </w:t>
      </w:r>
    </w:p>
    <w:p w14:paraId="3E8638C4" w14:textId="15A57591" w:rsidR="0011107B" w:rsidRPr="00E3754A" w:rsidRDefault="0011107B" w:rsidP="0011107B">
      <w:pPr>
        <w:pStyle w:val="NoSpacing"/>
        <w:rPr>
          <w:lang w:val="en-AU"/>
        </w:rPr>
      </w:pPr>
      <w:r w:rsidRPr="00E3754A">
        <w:rPr>
          <w:lang w:val="en-AU"/>
        </w:rPr>
        <w:t>There is, however, a su</w:t>
      </w:r>
      <w:r w:rsidR="00AD6F08" w:rsidRPr="00E3754A">
        <w:rPr>
          <w:lang w:val="en-AU"/>
        </w:rPr>
        <w:t>bstantial amount of evidence</w:t>
      </w:r>
      <w:r w:rsidR="00DC7819" w:rsidRPr="00E3754A">
        <w:rPr>
          <w:lang w:val="en-AU"/>
        </w:rPr>
        <w:t xml:space="preserve"> </w:t>
      </w:r>
      <w:r w:rsidR="0088725C" w:rsidRPr="00E3754A">
        <w:rPr>
          <w:lang w:val="en-AU"/>
        </w:rPr>
        <w:t>that highlights the</w:t>
      </w:r>
      <w:r w:rsidRPr="00E3754A">
        <w:rPr>
          <w:lang w:val="en-AU"/>
        </w:rPr>
        <w:t xml:space="preserve"> positive </w:t>
      </w:r>
      <w:r w:rsidR="0017654D">
        <w:rPr>
          <w:lang w:val="en-AU"/>
        </w:rPr>
        <w:t>ef</w:t>
      </w:r>
      <w:r w:rsidR="0092209C">
        <w:rPr>
          <w:lang w:val="en-AU"/>
        </w:rPr>
        <w:t>fect</w:t>
      </w:r>
      <w:r w:rsidR="0092209C" w:rsidRPr="00E3754A">
        <w:rPr>
          <w:lang w:val="en-AU"/>
        </w:rPr>
        <w:t xml:space="preserve"> </w:t>
      </w:r>
      <w:r w:rsidR="00DC7819" w:rsidRPr="00E3754A">
        <w:rPr>
          <w:lang w:val="en-AU"/>
        </w:rPr>
        <w:t xml:space="preserve">that </w:t>
      </w:r>
      <w:r w:rsidRPr="00E3754A">
        <w:rPr>
          <w:lang w:val="en-AU"/>
        </w:rPr>
        <w:t xml:space="preserve">greater self-determination has on </w:t>
      </w:r>
      <w:r w:rsidR="002C5EA2" w:rsidRPr="00E3754A">
        <w:rPr>
          <w:lang w:val="en-AU"/>
        </w:rPr>
        <w:t>disabled person</w:t>
      </w:r>
      <w:r w:rsidRPr="00E3754A">
        <w:rPr>
          <w:lang w:val="en-AU"/>
        </w:rPr>
        <w:t xml:space="preserve">s (Watson, 2016a; Jameson et al., 2015). On the basis that supported decision-making seeks to better enable </w:t>
      </w:r>
      <w:r w:rsidR="002C5EA2" w:rsidRPr="00E3754A">
        <w:rPr>
          <w:lang w:val="en-AU"/>
        </w:rPr>
        <w:t>disabled person</w:t>
      </w:r>
      <w:r w:rsidR="005C0425" w:rsidRPr="00E3754A">
        <w:rPr>
          <w:lang w:val="en-AU"/>
        </w:rPr>
        <w:t>s to</w:t>
      </w:r>
      <w:r w:rsidRPr="00E3754A">
        <w:rPr>
          <w:lang w:val="en-AU"/>
        </w:rPr>
        <w:t xml:space="preserve"> execute their self-determination, it is inferred that supported decision-making should </w:t>
      </w:r>
      <w:r w:rsidR="00286C23" w:rsidRPr="00E3754A">
        <w:rPr>
          <w:lang w:val="en-AU"/>
        </w:rPr>
        <w:t>generate</w:t>
      </w:r>
      <w:r w:rsidRPr="00E3754A">
        <w:rPr>
          <w:lang w:val="en-AU"/>
        </w:rPr>
        <w:t xml:space="preserve"> these positive results (see Jameson et al., 2015).</w:t>
      </w:r>
    </w:p>
    <w:p w14:paraId="346446DE" w14:textId="055E4A12" w:rsidR="0011107B" w:rsidRPr="00E3754A" w:rsidRDefault="0011107B" w:rsidP="0011107B">
      <w:pPr>
        <w:pStyle w:val="NoSpacing"/>
        <w:rPr>
          <w:lang w:val="en-AU"/>
        </w:rPr>
      </w:pPr>
      <w:r w:rsidRPr="00E3754A">
        <w:rPr>
          <w:lang w:val="en-AU"/>
        </w:rPr>
        <w:t>Studies or pilot programmes have been recently implemented in Australia to gather more data on support and supported decision-making. The Victorian Office of the Public Advocate conducted one of these studies, particularly focusing on people who were socially isolated (Burgen, 2016). The study found that support and advocacy volunte</w:t>
      </w:r>
      <w:r w:rsidR="00AD6F08" w:rsidRPr="00E3754A">
        <w:rPr>
          <w:lang w:val="en-AU"/>
        </w:rPr>
        <w:t xml:space="preserve">ers had a positive </w:t>
      </w:r>
      <w:r w:rsidR="0092209C">
        <w:rPr>
          <w:lang w:val="en-AU"/>
        </w:rPr>
        <w:t>impact</w:t>
      </w:r>
      <w:r w:rsidR="0092209C" w:rsidRPr="00E3754A">
        <w:rPr>
          <w:lang w:val="en-AU"/>
        </w:rPr>
        <w:t xml:space="preserve"> </w:t>
      </w:r>
      <w:r w:rsidR="00AD6F08" w:rsidRPr="00E3754A">
        <w:rPr>
          <w:lang w:val="en-AU"/>
        </w:rPr>
        <w:t>in assisting</w:t>
      </w:r>
      <w:r w:rsidRPr="00E3754A">
        <w:rPr>
          <w:lang w:val="en-AU"/>
        </w:rPr>
        <w:t xml:space="preserve"> </w:t>
      </w:r>
      <w:r w:rsidR="002C5EA2" w:rsidRPr="00E3754A">
        <w:rPr>
          <w:lang w:val="en-AU"/>
        </w:rPr>
        <w:t>disabled person</w:t>
      </w:r>
      <w:r w:rsidRPr="00E3754A">
        <w:rPr>
          <w:lang w:val="en-AU"/>
        </w:rPr>
        <w:t xml:space="preserve">s </w:t>
      </w:r>
      <w:r w:rsidR="00AD6F08" w:rsidRPr="00E3754A">
        <w:rPr>
          <w:lang w:val="en-AU"/>
        </w:rPr>
        <w:t xml:space="preserve">to become </w:t>
      </w:r>
      <w:r w:rsidRPr="00E3754A">
        <w:rPr>
          <w:lang w:val="en-AU"/>
        </w:rPr>
        <w:t xml:space="preserve">more confident in decision-making, more engaged with participating in decision-making processes, and more </w:t>
      </w:r>
      <w:r w:rsidR="00286C23" w:rsidRPr="00E3754A">
        <w:rPr>
          <w:lang w:val="en-AU"/>
        </w:rPr>
        <w:t>engaged</w:t>
      </w:r>
      <w:r w:rsidRPr="00E3754A">
        <w:rPr>
          <w:lang w:val="en-AU"/>
        </w:rPr>
        <w:t xml:space="preserve"> in self-advocacy. </w:t>
      </w:r>
      <w:r w:rsidR="0087603C" w:rsidRPr="00E3754A">
        <w:rPr>
          <w:lang w:val="en-AU"/>
        </w:rPr>
        <w:t>Durand et al. (2014), explored</w:t>
      </w:r>
      <w:r w:rsidRPr="00E3754A">
        <w:rPr>
          <w:lang w:val="en-AU"/>
        </w:rPr>
        <w:t xml:space="preserve"> the impact of shared decision-making (collaborative decision-making to promote participation in processes) amongst disadvantaged groups generally, and found that there were significant positive outcomes, including </w:t>
      </w:r>
      <w:r w:rsidR="00966F86" w:rsidRPr="00E3754A">
        <w:rPr>
          <w:lang w:val="en-AU"/>
        </w:rPr>
        <w:t>increased</w:t>
      </w:r>
      <w:r w:rsidRPr="00E3754A">
        <w:rPr>
          <w:lang w:val="en-AU"/>
        </w:rPr>
        <w:t xml:space="preserve"> self-advocacy and engagement in decision-making.</w:t>
      </w:r>
    </w:p>
    <w:p w14:paraId="05FF8560" w14:textId="7C2A9BC3" w:rsidR="0011107B" w:rsidRPr="00E3754A" w:rsidRDefault="0011107B" w:rsidP="0011107B">
      <w:pPr>
        <w:pStyle w:val="NoSpacing"/>
        <w:rPr>
          <w:lang w:val="en-AU"/>
        </w:rPr>
      </w:pPr>
      <w:r w:rsidRPr="00E3754A">
        <w:rPr>
          <w:lang w:val="en-AU"/>
        </w:rPr>
        <w:t xml:space="preserve">South Australia has implemented a pilot programme based on a non-statutory model (De Mestre, 2014). The programme focused on a single support-person approach based on a support agreement. Although the Victorian Office of the Public Advocate found that </w:t>
      </w:r>
      <w:r w:rsidR="00AA72D3" w:rsidRPr="00E3754A">
        <w:rPr>
          <w:lang w:val="en-AU"/>
        </w:rPr>
        <w:t xml:space="preserve">the </w:t>
      </w:r>
      <w:r w:rsidRPr="00E3754A">
        <w:rPr>
          <w:lang w:val="en-AU"/>
        </w:rPr>
        <w:t>agreements were</w:t>
      </w:r>
      <w:r w:rsidR="0088725C" w:rsidRPr="00E3754A">
        <w:rPr>
          <w:lang w:val="en-AU"/>
        </w:rPr>
        <w:t xml:space="preserve"> </w:t>
      </w:r>
      <w:r w:rsidRPr="00E3754A">
        <w:rPr>
          <w:lang w:val="en-AU"/>
        </w:rPr>
        <w:t xml:space="preserve">often </w:t>
      </w:r>
      <w:r w:rsidR="0088725C" w:rsidRPr="00E3754A">
        <w:rPr>
          <w:lang w:val="en-AU"/>
        </w:rPr>
        <w:t xml:space="preserve">not </w:t>
      </w:r>
      <w:r w:rsidRPr="00E3754A">
        <w:rPr>
          <w:lang w:val="en-AU"/>
        </w:rPr>
        <w:t xml:space="preserve">needed (Burgen, 2016), this pilot in South Australia found that the agreement gave </w:t>
      </w:r>
      <w:r w:rsidR="002C5EA2" w:rsidRPr="00E3754A">
        <w:rPr>
          <w:lang w:val="en-AU"/>
        </w:rPr>
        <w:t xml:space="preserve">disabled </w:t>
      </w:r>
      <w:r w:rsidR="00AA72D3" w:rsidRPr="00E3754A">
        <w:rPr>
          <w:lang w:val="en-AU"/>
        </w:rPr>
        <w:t xml:space="preserve">people </w:t>
      </w:r>
      <w:r w:rsidRPr="00E3754A">
        <w:rPr>
          <w:lang w:val="en-AU"/>
        </w:rPr>
        <w:t xml:space="preserve">a sense of formal approval for their participation in decision-making (De Mestre, 2014). In this sense, it was </w:t>
      </w:r>
      <w:r w:rsidR="00966F86" w:rsidRPr="00E3754A">
        <w:rPr>
          <w:lang w:val="en-AU"/>
        </w:rPr>
        <w:t xml:space="preserve">identified as </w:t>
      </w:r>
      <w:r w:rsidRPr="00E3754A">
        <w:rPr>
          <w:lang w:val="en-AU"/>
        </w:rPr>
        <w:t xml:space="preserve">empowering for </w:t>
      </w:r>
      <w:r w:rsidR="002C5EA2" w:rsidRPr="00E3754A">
        <w:rPr>
          <w:lang w:val="en-AU"/>
        </w:rPr>
        <w:t xml:space="preserve">disabled </w:t>
      </w:r>
      <w:r w:rsidR="00966F86" w:rsidRPr="00E3754A">
        <w:rPr>
          <w:lang w:val="en-AU"/>
        </w:rPr>
        <w:t>people</w:t>
      </w:r>
      <w:r w:rsidRPr="00E3754A">
        <w:rPr>
          <w:lang w:val="en-AU"/>
        </w:rPr>
        <w:t>.</w:t>
      </w:r>
    </w:p>
    <w:p w14:paraId="0C53D869" w14:textId="16E6958A" w:rsidR="0011107B" w:rsidRPr="00E3754A" w:rsidRDefault="0011107B" w:rsidP="0011107B">
      <w:pPr>
        <w:pStyle w:val="NoSpacing"/>
        <w:rPr>
          <w:lang w:val="en-AU"/>
        </w:rPr>
      </w:pPr>
      <w:r w:rsidRPr="00E3754A">
        <w:rPr>
          <w:lang w:val="en-AU"/>
        </w:rPr>
        <w:t xml:space="preserve">Pathare &amp; Shields (2012) also found that professionals were able to facilitate greater participation of </w:t>
      </w:r>
      <w:r w:rsidR="002C5EA2" w:rsidRPr="00E3754A">
        <w:rPr>
          <w:lang w:val="en-AU"/>
        </w:rPr>
        <w:t>disabled person</w:t>
      </w:r>
      <w:r w:rsidRPr="00E3754A">
        <w:rPr>
          <w:lang w:val="en-AU"/>
        </w:rPr>
        <w:t>s in decision-making processes</w:t>
      </w:r>
      <w:r w:rsidR="00203C55" w:rsidRPr="00E3754A">
        <w:rPr>
          <w:lang w:val="en-AU"/>
        </w:rPr>
        <w:t xml:space="preserve"> as a result of supporting decision-making</w:t>
      </w:r>
      <w:r w:rsidRPr="00E3754A">
        <w:rPr>
          <w:lang w:val="en-AU"/>
        </w:rPr>
        <w:t xml:space="preserve">. Additionally, </w:t>
      </w:r>
      <w:r w:rsidR="002C5EA2" w:rsidRPr="00E3754A">
        <w:rPr>
          <w:lang w:val="en-AU"/>
        </w:rPr>
        <w:t>disabled person</w:t>
      </w:r>
      <w:r w:rsidRPr="00E3754A">
        <w:rPr>
          <w:lang w:val="en-AU"/>
        </w:rPr>
        <w:t>s themselves engaged in greater self-advocacy.</w:t>
      </w:r>
    </w:p>
    <w:p w14:paraId="0029ED8B" w14:textId="4AB85D83" w:rsidR="00AD6745" w:rsidRPr="00E3754A" w:rsidRDefault="00966F86" w:rsidP="00AD6745">
      <w:pPr>
        <w:pStyle w:val="NoSpacing"/>
        <w:rPr>
          <w:lang w:val="en-AU"/>
        </w:rPr>
      </w:pPr>
      <w:r w:rsidRPr="00E3754A">
        <w:rPr>
          <w:lang w:val="en-AU"/>
        </w:rPr>
        <w:t xml:space="preserve">However, as noted elsewhere in this report, </w:t>
      </w:r>
      <w:r w:rsidR="0088725C" w:rsidRPr="00E3754A">
        <w:rPr>
          <w:lang w:val="en-AU"/>
        </w:rPr>
        <w:t xml:space="preserve">further </w:t>
      </w:r>
      <w:r w:rsidR="0011107B" w:rsidRPr="00E3754A">
        <w:rPr>
          <w:lang w:val="en-AU"/>
        </w:rPr>
        <w:t>research needs to be undertaken to provide insight into supported decision-making and its process and results (</w:t>
      </w:r>
      <w:r w:rsidR="00B52C0B">
        <w:rPr>
          <w:lang w:val="en-AU"/>
        </w:rPr>
        <w:t xml:space="preserve">Douglass, 2016; </w:t>
      </w:r>
      <w:r w:rsidR="0011107B" w:rsidRPr="00E3754A">
        <w:rPr>
          <w:lang w:val="en-AU"/>
        </w:rPr>
        <w:t xml:space="preserve">Kohn &amp; Blumenthal, 2014; IHC, 2016; Jameson et al., </w:t>
      </w:r>
      <w:r w:rsidR="008A4EDF" w:rsidRPr="00E3754A">
        <w:rPr>
          <w:lang w:val="en-AU"/>
        </w:rPr>
        <w:t xml:space="preserve">2015). This includes </w:t>
      </w:r>
      <w:r w:rsidR="00AD1DD4" w:rsidRPr="00E3754A">
        <w:rPr>
          <w:lang w:val="en-AU"/>
        </w:rPr>
        <w:t xml:space="preserve">exploring </w:t>
      </w:r>
      <w:r w:rsidR="0011107B" w:rsidRPr="00E3754A">
        <w:rPr>
          <w:lang w:val="en-AU"/>
        </w:rPr>
        <w:t xml:space="preserve">the extent to which supported decision-making provisions </w:t>
      </w:r>
      <w:r w:rsidR="008A4EDF" w:rsidRPr="00E3754A">
        <w:rPr>
          <w:lang w:val="en-AU"/>
        </w:rPr>
        <w:t>achieve</w:t>
      </w:r>
      <w:r w:rsidR="00B0461E">
        <w:rPr>
          <w:lang w:val="en-AU"/>
        </w:rPr>
        <w:t xml:space="preserve"> their</w:t>
      </w:r>
      <w:r w:rsidR="00AD6F08" w:rsidRPr="00E3754A">
        <w:rPr>
          <w:lang w:val="en-AU"/>
        </w:rPr>
        <w:t xml:space="preserve"> intended goal</w:t>
      </w:r>
      <w:r w:rsidR="00B0461E">
        <w:rPr>
          <w:lang w:val="en-AU"/>
        </w:rPr>
        <w:t>s</w:t>
      </w:r>
      <w:r w:rsidR="00381154" w:rsidRPr="00E3754A">
        <w:rPr>
          <w:lang w:val="en-AU"/>
        </w:rPr>
        <w:t xml:space="preserve"> </w:t>
      </w:r>
      <w:r w:rsidR="00AD6F08" w:rsidRPr="00E3754A">
        <w:rPr>
          <w:lang w:val="en-AU"/>
        </w:rPr>
        <w:t>in relation</w:t>
      </w:r>
      <w:r w:rsidR="00381154" w:rsidRPr="00E3754A">
        <w:rPr>
          <w:lang w:val="en-AU"/>
        </w:rPr>
        <w:t xml:space="preserve"> to Article 12 of the Convention.</w:t>
      </w:r>
    </w:p>
    <w:tbl>
      <w:tblPr>
        <w:tblStyle w:val="Style5"/>
        <w:tblW w:w="5000" w:type="pct"/>
        <w:tblLook w:val="04A0" w:firstRow="1" w:lastRow="0" w:firstColumn="1" w:lastColumn="0" w:noHBand="0" w:noVBand="1"/>
      </w:tblPr>
      <w:tblGrid>
        <w:gridCol w:w="9236"/>
      </w:tblGrid>
      <w:tr w:rsidR="00AD6745" w:rsidRPr="00E3754A" w14:paraId="597934AE" w14:textId="77777777" w:rsidTr="00CD1BD0">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638AA8C3" w14:textId="48DF89A4" w:rsidR="00AD6745" w:rsidRPr="00E3754A" w:rsidRDefault="00AD6745">
            <w:pPr>
              <w:pStyle w:val="Heading3"/>
              <w:tabs>
                <w:tab w:val="left" w:pos="720"/>
                <w:tab w:val="left" w:pos="1440"/>
                <w:tab w:val="left" w:pos="2160"/>
                <w:tab w:val="left" w:pos="6287"/>
              </w:tabs>
              <w:rPr>
                <w:lang w:val="en-AU"/>
              </w:rPr>
            </w:pPr>
            <w:bookmarkStart w:id="68" w:name="_Toc337970297"/>
            <w:bookmarkStart w:id="69" w:name="_Toc339036863"/>
            <w:r w:rsidRPr="00E3754A">
              <w:rPr>
                <w:lang w:val="en-AU"/>
              </w:rPr>
              <w:t>Therap</w:t>
            </w:r>
            <w:r w:rsidR="00317C56" w:rsidRPr="00E3754A">
              <w:rPr>
                <w:lang w:val="en-AU"/>
              </w:rPr>
              <w:t>e</w:t>
            </w:r>
            <w:r w:rsidRPr="00E3754A">
              <w:rPr>
                <w:lang w:val="en-AU"/>
              </w:rPr>
              <w:t>utic evidence</w:t>
            </w:r>
            <w:bookmarkEnd w:id="68"/>
            <w:bookmarkEnd w:id="69"/>
          </w:p>
        </w:tc>
      </w:tr>
    </w:tbl>
    <w:p w14:paraId="25217224" w14:textId="1C7DB064" w:rsidR="00667B3C" w:rsidRPr="00E3754A" w:rsidRDefault="00667B3C" w:rsidP="0011107B">
      <w:pPr>
        <w:pStyle w:val="NoSpacing"/>
        <w:rPr>
          <w:lang w:val="en-AU"/>
        </w:rPr>
      </w:pPr>
      <w:r w:rsidRPr="00E3754A">
        <w:rPr>
          <w:lang w:val="en-AU"/>
        </w:rPr>
        <w:t xml:space="preserve">This section examines the </w:t>
      </w:r>
      <w:r w:rsidR="00381154" w:rsidRPr="00E3754A">
        <w:rPr>
          <w:lang w:val="en-AU"/>
        </w:rPr>
        <w:t xml:space="preserve">available </w:t>
      </w:r>
      <w:r w:rsidRPr="00E3754A">
        <w:rPr>
          <w:lang w:val="en-AU"/>
        </w:rPr>
        <w:t>evidence on the impact of increased support on decision-making (</w:t>
      </w:r>
      <w:r w:rsidR="006D545F" w:rsidRPr="00E3754A">
        <w:rPr>
          <w:lang w:val="en-AU"/>
        </w:rPr>
        <w:t xml:space="preserve">Question </w:t>
      </w:r>
      <w:r w:rsidRPr="00E3754A">
        <w:rPr>
          <w:lang w:val="en-AU"/>
        </w:rPr>
        <w:t>12) and of initiatives on supported decision-making (</w:t>
      </w:r>
      <w:r w:rsidR="006D545F" w:rsidRPr="00E3754A">
        <w:rPr>
          <w:lang w:val="en-AU"/>
        </w:rPr>
        <w:t xml:space="preserve">Question </w:t>
      </w:r>
      <w:r w:rsidRPr="00E3754A">
        <w:rPr>
          <w:lang w:val="en-AU"/>
        </w:rPr>
        <w:t xml:space="preserve">16) and how the literature answers these questions. </w:t>
      </w:r>
    </w:p>
    <w:tbl>
      <w:tblPr>
        <w:tblStyle w:val="Style1"/>
        <w:tblW w:w="0" w:type="auto"/>
        <w:tblLook w:val="04A0" w:firstRow="1" w:lastRow="0" w:firstColumn="1" w:lastColumn="0" w:noHBand="0" w:noVBand="1"/>
      </w:tblPr>
      <w:tblGrid>
        <w:gridCol w:w="9236"/>
      </w:tblGrid>
      <w:tr w:rsidR="00F70C25" w:rsidRPr="00E3754A" w14:paraId="1A46EC7C" w14:textId="77777777" w:rsidTr="00F70C25">
        <w:tc>
          <w:tcPr>
            <w:tcW w:w="9236" w:type="dxa"/>
          </w:tcPr>
          <w:p w14:paraId="2D61C172" w14:textId="40966898" w:rsidR="00F70C25" w:rsidRPr="00E3754A" w:rsidRDefault="00F70C25" w:rsidP="00AD1DD4">
            <w:pPr>
              <w:pStyle w:val="NoSpacing"/>
              <w:rPr>
                <w:lang w:val="en-AU"/>
              </w:rPr>
            </w:pPr>
            <w:r w:rsidRPr="00E3754A">
              <w:rPr>
                <w:lang w:val="en-AU"/>
              </w:rPr>
              <w:t xml:space="preserve">Positive results have been reported for </w:t>
            </w:r>
            <w:r w:rsidRPr="00E3754A">
              <w:rPr>
                <w:rStyle w:val="Emphasis"/>
                <w:lang w:val="en-AU"/>
              </w:rPr>
              <w:t>Finland</w:t>
            </w:r>
            <w:r w:rsidRPr="00E3754A">
              <w:rPr>
                <w:lang w:val="en-AU"/>
              </w:rPr>
              <w:t>’s Open Dialogues model, which is employed generally as a means of support and employed in cases of extreme distress (Gooding, 2013).</w:t>
            </w:r>
            <w:r w:rsidR="009F4A85" w:rsidRPr="00E3754A">
              <w:rPr>
                <w:lang w:val="en-AU"/>
              </w:rPr>
              <w:t xml:space="preserve"> The model involves a process whereby the </w:t>
            </w:r>
            <w:r w:rsidR="00AD1DD4" w:rsidRPr="00E3754A">
              <w:rPr>
                <w:lang w:val="en-AU"/>
              </w:rPr>
              <w:t>disabled person</w:t>
            </w:r>
            <w:r w:rsidR="009F4A85" w:rsidRPr="00E3754A">
              <w:rPr>
                <w:lang w:val="en-AU"/>
              </w:rPr>
              <w:t>, their family and other people in their close social network provide a forum in which discussion takes place about options and concerns (Morrissey, 2012).</w:t>
            </w:r>
            <w:r w:rsidRPr="00E3754A">
              <w:rPr>
                <w:lang w:val="en-AU"/>
              </w:rPr>
              <w:t xml:space="preserve"> </w:t>
            </w:r>
            <w:r w:rsidR="009F4A85" w:rsidRPr="00E3754A">
              <w:rPr>
                <w:lang w:val="en-AU"/>
              </w:rPr>
              <w:t>The</w:t>
            </w:r>
            <w:r w:rsidRPr="00E3754A">
              <w:rPr>
                <w:lang w:val="en-AU"/>
              </w:rPr>
              <w:t xml:space="preserve"> evidence with regard to persons with psychosis shows that they spent fewer days hospitali</w:t>
            </w:r>
            <w:r w:rsidR="009E5EA1" w:rsidRPr="00E3754A">
              <w:rPr>
                <w:lang w:val="en-AU"/>
              </w:rPr>
              <w:t>s</w:t>
            </w:r>
            <w:r w:rsidRPr="00E3754A">
              <w:rPr>
                <w:lang w:val="en-AU"/>
              </w:rPr>
              <w:t>ed, experienced fewer symptoms of psychosis, and lessened their use of neuroleptic medication as a result of their involvement in the open dialogues model (Gooding, 2013). Morrissey (2012) also looks at other evidence that suggests personal support (rather than solely medical support) best improves a person’s medical decision-making.</w:t>
            </w:r>
          </w:p>
        </w:tc>
      </w:tr>
    </w:tbl>
    <w:p w14:paraId="2F48A175" w14:textId="079BFFDD" w:rsidR="007A13B6" w:rsidRPr="00E3754A" w:rsidRDefault="0011107B" w:rsidP="009F4A85">
      <w:pPr>
        <w:pStyle w:val="NoSpacing"/>
        <w:rPr>
          <w:lang w:val="en-AU"/>
        </w:rPr>
      </w:pPr>
      <w:r w:rsidRPr="00E3754A">
        <w:rPr>
          <w:lang w:val="en-AU"/>
        </w:rPr>
        <w:t xml:space="preserve">Further evidence suggests that employing substituted decision-making in extremely difficult cases </w:t>
      </w:r>
      <w:r w:rsidR="00723032" w:rsidRPr="00E3754A">
        <w:rPr>
          <w:lang w:val="en-AU"/>
        </w:rPr>
        <w:t>can have</w:t>
      </w:r>
      <w:r w:rsidRPr="00E3754A">
        <w:rPr>
          <w:lang w:val="en-AU"/>
        </w:rPr>
        <w:t xml:space="preserve"> negative consequences </w:t>
      </w:r>
      <w:r w:rsidR="00723032" w:rsidRPr="00E3754A">
        <w:rPr>
          <w:lang w:val="en-AU"/>
        </w:rPr>
        <w:t xml:space="preserve">for disabled people </w:t>
      </w:r>
      <w:r w:rsidRPr="00E3754A">
        <w:rPr>
          <w:lang w:val="en-AU"/>
        </w:rPr>
        <w:t xml:space="preserve">(see for example Chan, 2016; </w:t>
      </w:r>
      <w:r w:rsidR="00723032" w:rsidRPr="00E3754A">
        <w:rPr>
          <w:lang w:val="en-AU"/>
        </w:rPr>
        <w:t>Callaghan &amp; Ryan, 2014</w:t>
      </w:r>
      <w:r w:rsidR="00381154" w:rsidRPr="00E3754A">
        <w:rPr>
          <w:lang w:val="en-AU"/>
        </w:rPr>
        <w:t>). As previously discussed, i</w:t>
      </w:r>
      <w:r w:rsidRPr="00E3754A">
        <w:rPr>
          <w:lang w:val="en-AU"/>
        </w:rPr>
        <w:t xml:space="preserve">n cases where individuals exhibit behaviours of concern (are dangerous to themselves or others), evidence shows that they </w:t>
      </w:r>
      <w:r w:rsidR="008D3B7D" w:rsidRPr="00E3754A">
        <w:rPr>
          <w:lang w:val="en-AU"/>
        </w:rPr>
        <w:t xml:space="preserve">are often accommodated in </w:t>
      </w:r>
      <w:r w:rsidRPr="00E3754A">
        <w:rPr>
          <w:lang w:val="en-AU"/>
        </w:rPr>
        <w:t xml:space="preserve">closed environments under current practice (Chan, 2016). This includes </w:t>
      </w:r>
      <w:r w:rsidR="005755EA" w:rsidRPr="00E3754A">
        <w:rPr>
          <w:lang w:val="en-AU"/>
        </w:rPr>
        <w:t>being placed</w:t>
      </w:r>
      <w:r w:rsidRPr="00E3754A">
        <w:rPr>
          <w:lang w:val="en-AU"/>
        </w:rPr>
        <w:t xml:space="preserve"> in residential institutions and detention </w:t>
      </w:r>
      <w:r w:rsidR="00667B3C" w:rsidRPr="00E3754A">
        <w:rPr>
          <w:lang w:val="en-AU"/>
        </w:rPr>
        <w:t>centres</w:t>
      </w:r>
      <w:r w:rsidRPr="00E3754A">
        <w:rPr>
          <w:lang w:val="en-AU"/>
        </w:rPr>
        <w:t xml:space="preserve">. Chan (2016) </w:t>
      </w:r>
      <w:r w:rsidR="005755EA" w:rsidRPr="00E3754A">
        <w:rPr>
          <w:lang w:val="en-AU"/>
        </w:rPr>
        <w:t xml:space="preserve">suggests that </w:t>
      </w:r>
      <w:r w:rsidRPr="00E3754A">
        <w:rPr>
          <w:lang w:val="en-AU"/>
        </w:rPr>
        <w:t>this can exacerbate mental distress and concerning behaviours</w:t>
      </w:r>
      <w:r w:rsidR="00AD1DD4" w:rsidRPr="00E3754A">
        <w:rPr>
          <w:lang w:val="en-AU"/>
        </w:rPr>
        <w:t>,</w:t>
      </w:r>
      <w:r w:rsidRPr="00E3754A">
        <w:rPr>
          <w:lang w:val="en-AU"/>
        </w:rPr>
        <w:t xml:space="preserve"> and</w:t>
      </w:r>
      <w:r w:rsidR="002F367F" w:rsidRPr="00E3754A">
        <w:rPr>
          <w:lang w:val="en-AU"/>
        </w:rPr>
        <w:t xml:space="preserve"> promote and entrench the </w:t>
      </w:r>
      <w:r w:rsidRPr="00E3754A">
        <w:rPr>
          <w:lang w:val="en-AU"/>
        </w:rPr>
        <w:t xml:space="preserve">factors that cause them. </w:t>
      </w:r>
      <w:r w:rsidR="002F367F" w:rsidRPr="00E3754A">
        <w:rPr>
          <w:lang w:val="en-AU"/>
        </w:rPr>
        <w:t xml:space="preserve">In short, </w:t>
      </w:r>
      <w:r w:rsidR="00667B3C" w:rsidRPr="00E3754A">
        <w:rPr>
          <w:lang w:val="en-AU"/>
        </w:rPr>
        <w:t>Chan suggests</w:t>
      </w:r>
      <w:r w:rsidR="002F367F" w:rsidRPr="00E3754A">
        <w:rPr>
          <w:lang w:val="en-AU"/>
        </w:rPr>
        <w:t xml:space="preserve"> that involuntary detention and treatmen</w:t>
      </w:r>
      <w:r w:rsidRPr="00E3754A">
        <w:rPr>
          <w:lang w:val="en-AU"/>
        </w:rPr>
        <w:t xml:space="preserve">t can </w:t>
      </w:r>
      <w:r w:rsidR="002F367F" w:rsidRPr="00E3754A">
        <w:rPr>
          <w:lang w:val="en-AU"/>
        </w:rPr>
        <w:t>sustain</w:t>
      </w:r>
      <w:r w:rsidRPr="00E3754A">
        <w:rPr>
          <w:lang w:val="en-AU"/>
        </w:rPr>
        <w:t xml:space="preserve"> the </w:t>
      </w:r>
      <w:r w:rsidR="002F367F" w:rsidRPr="00E3754A">
        <w:rPr>
          <w:lang w:val="en-AU"/>
        </w:rPr>
        <w:t>challenges posed within</w:t>
      </w:r>
      <w:r w:rsidRPr="00E3754A">
        <w:rPr>
          <w:lang w:val="en-AU"/>
        </w:rPr>
        <w:t xml:space="preserve"> these ‘extremely difficult cases’ rather than</w:t>
      </w:r>
      <w:r w:rsidR="002F367F" w:rsidRPr="00E3754A">
        <w:rPr>
          <w:lang w:val="en-AU"/>
        </w:rPr>
        <w:t xml:space="preserve"> improve or </w:t>
      </w:r>
      <w:r w:rsidR="00667B3C" w:rsidRPr="00E3754A">
        <w:rPr>
          <w:lang w:val="en-AU"/>
        </w:rPr>
        <w:t>alleviate</w:t>
      </w:r>
      <w:r w:rsidRPr="00E3754A">
        <w:rPr>
          <w:lang w:val="en-AU"/>
        </w:rPr>
        <w:t xml:space="preserve"> </w:t>
      </w:r>
      <w:r w:rsidR="002F367F" w:rsidRPr="00E3754A">
        <w:rPr>
          <w:lang w:val="en-AU"/>
        </w:rPr>
        <w:t>them</w:t>
      </w:r>
      <w:r w:rsidRPr="00E3754A">
        <w:rPr>
          <w:lang w:val="en-AU"/>
        </w:rPr>
        <w:t>. Cal</w:t>
      </w:r>
      <w:r w:rsidR="004A0ABC" w:rsidRPr="00E3754A">
        <w:rPr>
          <w:lang w:val="en-AU"/>
        </w:rPr>
        <w:t>laghan &amp; Ryan (2014) raised</w:t>
      </w:r>
      <w:r w:rsidRPr="00E3754A">
        <w:rPr>
          <w:lang w:val="en-AU"/>
        </w:rPr>
        <w:t xml:space="preserve"> concern with hospitalisation, including persons being subjected to violence in psychiatric wards and </w:t>
      </w:r>
      <w:r w:rsidR="004A0ABC" w:rsidRPr="00E3754A">
        <w:rPr>
          <w:lang w:val="en-AU"/>
        </w:rPr>
        <w:t>the potential for suicidal feelings to be increased</w:t>
      </w:r>
      <w:r w:rsidRPr="00E3754A">
        <w:rPr>
          <w:lang w:val="en-AU"/>
        </w:rPr>
        <w:t xml:space="preserve">. This supports the argument made by Arstein-Kerslake and Flynn (2015): </w:t>
      </w:r>
      <w:r w:rsidR="00A02BF2" w:rsidRPr="00E3754A">
        <w:rPr>
          <w:lang w:val="en-AU"/>
        </w:rPr>
        <w:t xml:space="preserve">that, </w:t>
      </w:r>
      <w:r w:rsidRPr="00E3754A">
        <w:rPr>
          <w:lang w:val="en-AU"/>
        </w:rPr>
        <w:t xml:space="preserve">rather than protecting </w:t>
      </w:r>
      <w:r w:rsidR="002C5EA2" w:rsidRPr="00E3754A">
        <w:rPr>
          <w:lang w:val="en-AU"/>
        </w:rPr>
        <w:t>disabled person</w:t>
      </w:r>
      <w:r w:rsidRPr="00E3754A">
        <w:rPr>
          <w:lang w:val="en-AU"/>
        </w:rPr>
        <w:t>s by means of denying them legal agency, persons can be protected through empowerment.</w:t>
      </w:r>
      <w:r w:rsidR="00E830DE" w:rsidRPr="00E3754A">
        <w:rPr>
          <w:rStyle w:val="FootnoteReference"/>
          <w:lang w:val="en-AU"/>
        </w:rPr>
        <w:footnoteReference w:id="20"/>
      </w:r>
      <w:r w:rsidRPr="00E3754A">
        <w:rPr>
          <w:lang w:val="en-AU"/>
        </w:rPr>
        <w:t xml:space="preserve"> Evidence that substituted decision-making can be a more harmful option provides another reason for the shift away from substituted decision-making for those in the literature that were not convinced of the viability of the rights-based approach. </w:t>
      </w:r>
    </w:p>
    <w:p w14:paraId="32CA785D" w14:textId="77777777" w:rsidR="007A13B6" w:rsidRPr="00E3754A" w:rsidRDefault="007A13B6">
      <w:pPr>
        <w:spacing w:line="240" w:lineRule="auto"/>
        <w:jc w:val="left"/>
        <w:rPr>
          <w:lang w:val="en-AU"/>
        </w:rPr>
      </w:pPr>
      <w:r w:rsidRPr="00E3754A">
        <w:rPr>
          <w:lang w:val="en-AU"/>
        </w:rPr>
        <w:br w:type="page"/>
      </w:r>
    </w:p>
    <w:tbl>
      <w:tblPr>
        <w:tblStyle w:val="Style5"/>
        <w:tblW w:w="0" w:type="auto"/>
        <w:tblLook w:val="04A0" w:firstRow="1" w:lastRow="0" w:firstColumn="1" w:lastColumn="0" w:noHBand="0" w:noVBand="1"/>
      </w:tblPr>
      <w:tblGrid>
        <w:gridCol w:w="9236"/>
      </w:tblGrid>
      <w:tr w:rsidR="007A13B6" w:rsidRPr="00E3754A" w14:paraId="23C3AC52" w14:textId="77777777" w:rsidTr="005F7610">
        <w:tc>
          <w:tcPr>
            <w:tcW w:w="9236" w:type="dxa"/>
          </w:tcPr>
          <w:p w14:paraId="2344DC49" w14:textId="77777777" w:rsidR="007A13B6" w:rsidRPr="00E3754A" w:rsidRDefault="007A13B6" w:rsidP="005F7610">
            <w:pPr>
              <w:pStyle w:val="Heading1"/>
              <w:rPr>
                <w:lang w:val="en-AU"/>
              </w:rPr>
            </w:pPr>
            <w:bookmarkStart w:id="70" w:name="_Toc337970298"/>
            <w:bookmarkStart w:id="71" w:name="_Toc339036864"/>
            <w:r w:rsidRPr="00E3754A">
              <w:rPr>
                <w:lang w:val="en-AU"/>
              </w:rPr>
              <w:t>Realising will and preference adequately and safely</w:t>
            </w:r>
            <w:bookmarkEnd w:id="70"/>
            <w:bookmarkEnd w:id="71"/>
          </w:p>
        </w:tc>
      </w:tr>
    </w:tbl>
    <w:p w14:paraId="0D1DD608" w14:textId="3293DD62" w:rsidR="007A13B6" w:rsidRPr="00E3754A" w:rsidRDefault="007A13B6" w:rsidP="00A128ED">
      <w:pPr>
        <w:pStyle w:val="NoSpacing"/>
        <w:rPr>
          <w:lang w:val="en-AU"/>
        </w:rPr>
      </w:pPr>
    </w:p>
    <w:tbl>
      <w:tblPr>
        <w:tblStyle w:val="Style5"/>
        <w:tblW w:w="5000" w:type="pct"/>
        <w:tblLook w:val="04A0" w:firstRow="1" w:lastRow="0" w:firstColumn="1" w:lastColumn="0" w:noHBand="0" w:noVBand="1"/>
      </w:tblPr>
      <w:tblGrid>
        <w:gridCol w:w="9236"/>
      </w:tblGrid>
      <w:tr w:rsidR="00CD1BD0" w:rsidRPr="00E3754A" w14:paraId="3173F500" w14:textId="77777777" w:rsidTr="00CD1BD0">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0EF6E9CC" w14:textId="752F50A2" w:rsidR="00CD1BD0" w:rsidRPr="00E3754A" w:rsidRDefault="005C3757" w:rsidP="00CD1BD0">
            <w:pPr>
              <w:pStyle w:val="Heading3"/>
              <w:tabs>
                <w:tab w:val="left" w:pos="720"/>
                <w:tab w:val="left" w:pos="1440"/>
                <w:tab w:val="left" w:pos="2160"/>
                <w:tab w:val="left" w:pos="6287"/>
              </w:tabs>
              <w:rPr>
                <w:lang w:val="en-AU"/>
              </w:rPr>
            </w:pPr>
            <w:bookmarkStart w:id="72" w:name="_Toc337970299"/>
            <w:bookmarkStart w:id="73" w:name="_Toc339036865"/>
            <w:r w:rsidRPr="00E3754A">
              <w:rPr>
                <w:lang w:val="en-AU"/>
              </w:rPr>
              <w:t>Real connection with will and preference</w:t>
            </w:r>
            <w:bookmarkEnd w:id="72"/>
            <w:bookmarkEnd w:id="73"/>
            <w:r w:rsidR="00CD1BD0" w:rsidRPr="00E3754A">
              <w:rPr>
                <w:lang w:val="en-AU"/>
              </w:rPr>
              <w:tab/>
            </w:r>
          </w:p>
        </w:tc>
      </w:tr>
    </w:tbl>
    <w:p w14:paraId="289F79F2" w14:textId="4674B958" w:rsidR="00AF1FA0" w:rsidRPr="00E3754A" w:rsidRDefault="00082793" w:rsidP="00AF1FA0">
      <w:pPr>
        <w:pStyle w:val="NoSpacing"/>
        <w:rPr>
          <w:lang w:val="en-AU"/>
        </w:rPr>
      </w:pPr>
      <w:r w:rsidRPr="00E3754A">
        <w:rPr>
          <w:lang w:val="en-AU"/>
        </w:rPr>
        <w:t>This section pertains to discussion in the literature around how far supported decision-making can be applied before it loses real or practical connection with a disabled person’s will and preference (</w:t>
      </w:r>
      <w:r w:rsidR="006D545F" w:rsidRPr="00E3754A">
        <w:rPr>
          <w:lang w:val="en-AU"/>
        </w:rPr>
        <w:t xml:space="preserve">Question </w:t>
      </w:r>
      <w:r w:rsidRPr="00E3754A">
        <w:rPr>
          <w:lang w:val="en-AU"/>
        </w:rPr>
        <w:t xml:space="preserve">18, Appendix A). </w:t>
      </w:r>
      <w:r w:rsidR="001F194F" w:rsidRPr="00E3754A">
        <w:rPr>
          <w:lang w:val="en-AU"/>
        </w:rPr>
        <w:t xml:space="preserve">On one side of the discussion it is argued that, </w:t>
      </w:r>
      <w:r w:rsidR="00643D3E" w:rsidRPr="00E3754A">
        <w:rPr>
          <w:lang w:val="en-AU"/>
        </w:rPr>
        <w:t>regardless of the implementation of a</w:t>
      </w:r>
      <w:r w:rsidR="00AF1FA0" w:rsidRPr="00E3754A">
        <w:rPr>
          <w:lang w:val="en-AU"/>
        </w:rPr>
        <w:t xml:space="preserve"> supported decision-making framework</w:t>
      </w:r>
      <w:r w:rsidR="00643D3E" w:rsidRPr="00E3754A">
        <w:rPr>
          <w:lang w:val="en-AU"/>
        </w:rPr>
        <w:t>, there</w:t>
      </w:r>
      <w:r w:rsidR="00AF1FA0" w:rsidRPr="00E3754A">
        <w:rPr>
          <w:lang w:val="en-AU"/>
        </w:rPr>
        <w:t xml:space="preserve"> will </w:t>
      </w:r>
      <w:r w:rsidR="00643D3E" w:rsidRPr="00E3754A">
        <w:rPr>
          <w:lang w:val="en-AU"/>
        </w:rPr>
        <w:t>be</w:t>
      </w:r>
      <w:r w:rsidR="00AF1FA0" w:rsidRPr="00E3754A">
        <w:rPr>
          <w:lang w:val="en-AU"/>
        </w:rPr>
        <w:t xml:space="preserve"> cases where a </w:t>
      </w:r>
      <w:r w:rsidR="002C5EA2" w:rsidRPr="00E3754A">
        <w:rPr>
          <w:lang w:val="en-AU"/>
        </w:rPr>
        <w:t>disabled person</w:t>
      </w:r>
      <w:r w:rsidR="00AF1FA0" w:rsidRPr="00E3754A">
        <w:rPr>
          <w:lang w:val="en-AU"/>
        </w:rPr>
        <w:t>’s will and preferences cannot be obtained (Gooding, 2015)</w:t>
      </w:r>
      <w:r w:rsidR="005B6ADA" w:rsidRPr="00E3754A">
        <w:rPr>
          <w:lang w:val="en-AU"/>
        </w:rPr>
        <w:t xml:space="preserve">. </w:t>
      </w:r>
      <w:r w:rsidR="007A13B6" w:rsidRPr="00E3754A">
        <w:rPr>
          <w:lang w:val="en-AU"/>
        </w:rPr>
        <w:t>Furthermore</w:t>
      </w:r>
      <w:r w:rsidR="005B6ADA" w:rsidRPr="00E3754A">
        <w:rPr>
          <w:lang w:val="en-AU"/>
        </w:rPr>
        <w:t>, it is also argued by some that</w:t>
      </w:r>
      <w:r w:rsidR="00AF1FA0" w:rsidRPr="00E3754A">
        <w:rPr>
          <w:lang w:val="en-AU"/>
        </w:rPr>
        <w:t xml:space="preserve"> we can never know the mind of another person and accurately read communicative styles and behavioural cues (as examined by </w:t>
      </w:r>
      <w:r w:rsidR="000A5D75" w:rsidRPr="00E3754A">
        <w:rPr>
          <w:lang w:val="en-AU"/>
        </w:rPr>
        <w:t>Carney, 2015b</w:t>
      </w:r>
      <w:r w:rsidR="00AF1FA0" w:rsidRPr="00E3754A">
        <w:rPr>
          <w:lang w:val="en-AU"/>
        </w:rPr>
        <w:t xml:space="preserve">). In this sense, </w:t>
      </w:r>
      <w:r w:rsidR="008C0693" w:rsidRPr="00E3754A">
        <w:rPr>
          <w:lang w:val="en-AU"/>
        </w:rPr>
        <w:t>these questions give rise to the perception</w:t>
      </w:r>
      <w:r w:rsidR="005B34DC" w:rsidRPr="00E3754A">
        <w:rPr>
          <w:lang w:val="en-AU"/>
        </w:rPr>
        <w:t xml:space="preserve"> </w:t>
      </w:r>
      <w:r w:rsidR="00AF1FA0" w:rsidRPr="00E3754A">
        <w:rPr>
          <w:lang w:val="en-AU"/>
        </w:rPr>
        <w:t>that supported decision-making loses real connection with a person</w:t>
      </w:r>
      <w:r w:rsidR="00B0461E">
        <w:rPr>
          <w:lang w:val="en-AU"/>
        </w:rPr>
        <w:t>’</w:t>
      </w:r>
      <w:r w:rsidR="00AF1FA0" w:rsidRPr="00E3754A">
        <w:rPr>
          <w:lang w:val="en-AU"/>
        </w:rPr>
        <w:t>s will and preferences when extensive interpretation is required and/or when a person has not explicitly provided their will and preferences in advance or cannot do so in their current state (for example, when they are in a minimally conscious state).</w:t>
      </w:r>
      <w:r w:rsidR="00381154" w:rsidRPr="00E3754A">
        <w:rPr>
          <w:lang w:val="en-AU"/>
        </w:rPr>
        <w:t xml:space="preserve"> However, the General Comment takes the position that a person’s legal capacity and will and preferences </w:t>
      </w:r>
      <w:r w:rsidR="00AD1DD4" w:rsidRPr="00E3754A">
        <w:rPr>
          <w:lang w:val="en-AU"/>
        </w:rPr>
        <w:t>must</w:t>
      </w:r>
      <w:r w:rsidR="00381154" w:rsidRPr="00E3754A">
        <w:rPr>
          <w:lang w:val="en-AU"/>
        </w:rPr>
        <w:t xml:space="preserve"> be respected even in times of crisis (Gooding, 2015). </w:t>
      </w:r>
    </w:p>
    <w:p w14:paraId="2EADBFDC" w14:textId="42C90EB6" w:rsidR="009E38DE" w:rsidRPr="00E3754A" w:rsidRDefault="00B82E69" w:rsidP="009E38DE">
      <w:pPr>
        <w:pStyle w:val="NoSpacing"/>
        <w:rPr>
          <w:lang w:val="en-AU"/>
        </w:rPr>
      </w:pPr>
      <w:r w:rsidRPr="00E3754A">
        <w:rPr>
          <w:lang w:val="en-AU"/>
        </w:rPr>
        <w:t xml:space="preserve">On the other side of this argument, commentators have contended that </w:t>
      </w:r>
      <w:r w:rsidR="002F5C8A" w:rsidRPr="00E3754A">
        <w:rPr>
          <w:lang w:val="en-AU"/>
        </w:rPr>
        <w:t xml:space="preserve">supported decision-making loses real connection with a </w:t>
      </w:r>
      <w:r w:rsidR="002C5EA2" w:rsidRPr="00E3754A">
        <w:rPr>
          <w:lang w:val="en-AU"/>
        </w:rPr>
        <w:t>disabled person</w:t>
      </w:r>
      <w:r w:rsidR="002F5C8A" w:rsidRPr="00E3754A">
        <w:rPr>
          <w:lang w:val="en-AU"/>
        </w:rPr>
        <w:t>’s will and preference when will and preference is no longer the determining and central factor (as is highlighted in Arstein-Kerslake, 2016; Arstein-Kerslake &amp; Flynn, 2015; Douglas et al. 2015; Flynn &amp; Arstein-Kerslake, 2014; Knox et al., 2016; Stavert, 2016; Tracy, 2015; Watson, 2016</w:t>
      </w:r>
      <w:r w:rsidR="00DF410D" w:rsidRPr="00E3754A">
        <w:rPr>
          <w:lang w:val="en-AU"/>
        </w:rPr>
        <w:t>a</w:t>
      </w:r>
      <w:r w:rsidR="002F5C8A" w:rsidRPr="00E3754A">
        <w:rPr>
          <w:lang w:val="en-AU"/>
        </w:rPr>
        <w:t xml:space="preserve">). With regard to this </w:t>
      </w:r>
      <w:r w:rsidR="005B34DC" w:rsidRPr="00E3754A">
        <w:rPr>
          <w:lang w:val="en-AU"/>
        </w:rPr>
        <w:t xml:space="preserve">opinion, it is argued that every human person has the ability to express their will and preferences (Watson, 2016a), and </w:t>
      </w:r>
      <w:r w:rsidRPr="00E3754A">
        <w:rPr>
          <w:lang w:val="en-AU"/>
        </w:rPr>
        <w:t>therefore</w:t>
      </w:r>
      <w:r w:rsidR="005B34DC" w:rsidRPr="00E3754A">
        <w:rPr>
          <w:lang w:val="en-AU"/>
        </w:rPr>
        <w:t xml:space="preserve"> supporter</w:t>
      </w:r>
      <w:r w:rsidRPr="00E3754A">
        <w:rPr>
          <w:lang w:val="en-AU"/>
        </w:rPr>
        <w:t>s</w:t>
      </w:r>
      <w:r w:rsidR="005B34DC" w:rsidRPr="00E3754A">
        <w:rPr>
          <w:lang w:val="en-AU"/>
        </w:rPr>
        <w:t xml:space="preserve"> must make effort to discover these even when doing so requires great effort (see Allen &amp; Tulich, 2015; Flynn &amp; Arstein-Kerslake, 2014). Allen &amp; Tulich (2015)</w:t>
      </w:r>
      <w:r w:rsidR="003042B0" w:rsidRPr="00E3754A">
        <w:rPr>
          <w:lang w:val="en-AU"/>
        </w:rPr>
        <w:t>,</w:t>
      </w:r>
      <w:r w:rsidR="005B34DC" w:rsidRPr="00E3754A">
        <w:rPr>
          <w:lang w:val="en-AU"/>
        </w:rPr>
        <w:t xml:space="preserve"> </w:t>
      </w:r>
      <w:r w:rsidR="003042B0" w:rsidRPr="00E3754A">
        <w:rPr>
          <w:lang w:val="en-AU"/>
        </w:rPr>
        <w:t>Gooding (2015) and</w:t>
      </w:r>
      <w:r w:rsidR="006F7CE1" w:rsidRPr="00E3754A">
        <w:rPr>
          <w:lang w:val="en-AU"/>
        </w:rPr>
        <w:t xml:space="preserve"> </w:t>
      </w:r>
      <w:r w:rsidR="003042B0" w:rsidRPr="00E3754A">
        <w:rPr>
          <w:lang w:val="en-AU"/>
        </w:rPr>
        <w:t xml:space="preserve">Series et al. (2014) </w:t>
      </w:r>
      <w:r w:rsidR="005B34DC" w:rsidRPr="00E3754A">
        <w:rPr>
          <w:lang w:val="en-AU"/>
        </w:rPr>
        <w:t xml:space="preserve">describe this process as proceeding on the ‘best interpretation’ of the person’s will and preference had they been able to exercise their legal agency. Recognising that all </w:t>
      </w:r>
      <w:r w:rsidR="00993A73" w:rsidRPr="00E3754A">
        <w:rPr>
          <w:lang w:val="en-AU"/>
        </w:rPr>
        <w:t>people</w:t>
      </w:r>
      <w:r w:rsidR="005B34DC" w:rsidRPr="00E3754A">
        <w:rPr>
          <w:lang w:val="en-AU"/>
        </w:rPr>
        <w:t xml:space="preserve"> communicate </w:t>
      </w:r>
      <w:r w:rsidR="00993A73" w:rsidRPr="00E3754A">
        <w:rPr>
          <w:lang w:val="en-AU"/>
        </w:rPr>
        <w:t xml:space="preserve">in some way </w:t>
      </w:r>
      <w:r w:rsidR="005B34DC" w:rsidRPr="00E3754A">
        <w:rPr>
          <w:lang w:val="en-AU"/>
        </w:rPr>
        <w:t xml:space="preserve">involves adopting an inclusive view of communication, </w:t>
      </w:r>
      <w:r w:rsidR="00993A73" w:rsidRPr="00E3754A">
        <w:rPr>
          <w:lang w:val="en-AU"/>
        </w:rPr>
        <w:t>which</w:t>
      </w:r>
      <w:r w:rsidR="005B34DC" w:rsidRPr="00E3754A">
        <w:rPr>
          <w:lang w:val="en-AU"/>
        </w:rPr>
        <w:t xml:space="preserve"> recognis</w:t>
      </w:r>
      <w:r w:rsidR="00993A73" w:rsidRPr="00E3754A">
        <w:rPr>
          <w:lang w:val="en-AU"/>
        </w:rPr>
        <w:t>es</w:t>
      </w:r>
      <w:r w:rsidR="005B34DC" w:rsidRPr="00E3754A">
        <w:rPr>
          <w:lang w:val="en-AU"/>
        </w:rPr>
        <w:t xml:space="preserve"> the diverse range of communicative means people </w:t>
      </w:r>
      <w:r w:rsidR="00993A73" w:rsidRPr="00E3754A">
        <w:rPr>
          <w:lang w:val="en-AU"/>
        </w:rPr>
        <w:t>may</w:t>
      </w:r>
      <w:r w:rsidR="005B34DC" w:rsidRPr="00E3754A">
        <w:rPr>
          <w:lang w:val="en-AU"/>
        </w:rPr>
        <w:t xml:space="preserve"> use (Watson, 2016a). It also involves recognition that communication is an interdependent process. This includes body language facial expression and gesture (Watson, 2016a). The position held by this literature argues that ‘real connection’ with a person’s will and preference is not lost if</w:t>
      </w:r>
      <w:r w:rsidR="00993A73" w:rsidRPr="00E3754A">
        <w:rPr>
          <w:lang w:val="en-AU"/>
        </w:rPr>
        <w:t xml:space="preserve"> </w:t>
      </w:r>
      <w:r w:rsidR="00993A73" w:rsidRPr="00E3754A">
        <w:rPr>
          <w:i/>
          <w:lang w:val="en-AU"/>
        </w:rPr>
        <w:t>real</w:t>
      </w:r>
      <w:r w:rsidR="005B34DC" w:rsidRPr="00E3754A">
        <w:rPr>
          <w:lang w:val="en-AU"/>
        </w:rPr>
        <w:t xml:space="preserve"> effort is made to ascertain them. For example, supporters can gather information from the person themselves by being responsive to a person’s complex communicative means or</w:t>
      </w:r>
      <w:r w:rsidR="00A02BF2" w:rsidRPr="00E3754A">
        <w:rPr>
          <w:lang w:val="en-AU"/>
        </w:rPr>
        <w:t xml:space="preserve"> by</w:t>
      </w:r>
      <w:r w:rsidR="005B34DC" w:rsidRPr="00E3754A">
        <w:rPr>
          <w:lang w:val="en-AU"/>
        </w:rPr>
        <w:t xml:space="preserve"> </w:t>
      </w:r>
      <w:r w:rsidR="00BA7D86" w:rsidRPr="00BA7D86">
        <w:rPr>
          <w:lang w:val="en-AU"/>
        </w:rPr>
        <w:t>referring</w:t>
      </w:r>
      <w:r w:rsidR="005B34DC" w:rsidRPr="00E3754A">
        <w:rPr>
          <w:lang w:val="en-AU"/>
        </w:rPr>
        <w:t xml:space="preserve"> to those who </w:t>
      </w:r>
      <w:r w:rsidR="00F50027" w:rsidRPr="00E3754A">
        <w:rPr>
          <w:lang w:val="en-AU"/>
        </w:rPr>
        <w:t>know</w:t>
      </w:r>
      <w:r w:rsidR="005B34DC" w:rsidRPr="00E3754A">
        <w:rPr>
          <w:lang w:val="en-AU"/>
        </w:rPr>
        <w:t xml:space="preserve"> the person </w:t>
      </w:r>
      <w:r w:rsidR="00F50027" w:rsidRPr="00E3754A">
        <w:rPr>
          <w:lang w:val="en-AU"/>
        </w:rPr>
        <w:t>well</w:t>
      </w:r>
      <w:r w:rsidR="004D08EF" w:rsidRPr="00E3754A">
        <w:rPr>
          <w:lang w:val="en-AU"/>
        </w:rPr>
        <w:t xml:space="preserve"> (Flynn &amp; Arstein-Kerslake, 2014)</w:t>
      </w:r>
      <w:r w:rsidR="005B34DC" w:rsidRPr="00E3754A">
        <w:rPr>
          <w:lang w:val="en-AU"/>
        </w:rPr>
        <w:t>.</w:t>
      </w:r>
      <w:r w:rsidR="002F5C8A" w:rsidRPr="00E3754A">
        <w:rPr>
          <w:lang w:val="en-AU"/>
        </w:rPr>
        <w:t xml:space="preserve"> In the practice of substitute decision-making, a </w:t>
      </w:r>
      <w:r w:rsidR="002C5EA2" w:rsidRPr="00E3754A">
        <w:rPr>
          <w:lang w:val="en-AU"/>
        </w:rPr>
        <w:t>disabled person</w:t>
      </w:r>
      <w:r w:rsidR="002F5C8A" w:rsidRPr="00E3754A">
        <w:rPr>
          <w:lang w:val="en-AU"/>
        </w:rPr>
        <w:t xml:space="preserve">’s will and preference is not the determining and central factor, even if they are taken into consideration. </w:t>
      </w:r>
      <w:r w:rsidR="00F50027" w:rsidRPr="00E3754A">
        <w:rPr>
          <w:lang w:val="en-AU"/>
        </w:rPr>
        <w:t>In the Convention era,</w:t>
      </w:r>
      <w:r w:rsidR="002F5C8A" w:rsidRPr="00E3754A">
        <w:rPr>
          <w:lang w:val="en-AU"/>
        </w:rPr>
        <w:t xml:space="preserve"> safeguards ne</w:t>
      </w:r>
      <w:r w:rsidR="00F50027" w:rsidRPr="00E3754A">
        <w:rPr>
          <w:lang w:val="en-AU"/>
        </w:rPr>
        <w:t xml:space="preserve">ed to be implemented in a manner that prioritises </w:t>
      </w:r>
      <w:r w:rsidR="002F5C8A" w:rsidRPr="00E3754A">
        <w:rPr>
          <w:lang w:val="en-AU"/>
        </w:rPr>
        <w:t xml:space="preserve">real connection with </w:t>
      </w:r>
      <w:r w:rsidR="00F50027" w:rsidRPr="00E3754A">
        <w:rPr>
          <w:lang w:val="en-AU"/>
        </w:rPr>
        <w:t>the will and preferences of disabled persons.</w:t>
      </w:r>
      <w:r w:rsidR="002F5C8A" w:rsidRPr="00E3754A">
        <w:rPr>
          <w:lang w:val="en-AU"/>
        </w:rPr>
        <w:t xml:space="preserve"> </w:t>
      </w:r>
    </w:p>
    <w:tbl>
      <w:tblPr>
        <w:tblStyle w:val="Style5"/>
        <w:tblW w:w="5000" w:type="pct"/>
        <w:tblLook w:val="04A0" w:firstRow="1" w:lastRow="0" w:firstColumn="1" w:lastColumn="0" w:noHBand="0" w:noVBand="1"/>
      </w:tblPr>
      <w:tblGrid>
        <w:gridCol w:w="9236"/>
      </w:tblGrid>
      <w:tr w:rsidR="009E38DE" w:rsidRPr="00E3754A" w14:paraId="33B0809E" w14:textId="77777777" w:rsidTr="00CC4D12">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5AA62A45" w14:textId="371DFE3A" w:rsidR="009E38DE" w:rsidRPr="00E3754A" w:rsidRDefault="009E38DE">
            <w:pPr>
              <w:pStyle w:val="Heading3"/>
              <w:tabs>
                <w:tab w:val="left" w:pos="720"/>
                <w:tab w:val="left" w:pos="1440"/>
                <w:tab w:val="left" w:pos="2160"/>
                <w:tab w:val="left" w:pos="6287"/>
              </w:tabs>
              <w:rPr>
                <w:lang w:val="en-AU"/>
              </w:rPr>
            </w:pPr>
            <w:bookmarkStart w:id="74" w:name="_Toc337970300"/>
            <w:bookmarkStart w:id="75" w:name="_Toc339036866"/>
            <w:r w:rsidRPr="00E3754A">
              <w:rPr>
                <w:lang w:val="en-AU"/>
              </w:rPr>
              <w:t>Recognition and /or safeguards for the disabled perso</w:t>
            </w:r>
            <w:r w:rsidR="00236ADD" w:rsidRPr="00E3754A">
              <w:rPr>
                <w:lang w:val="en-AU"/>
              </w:rPr>
              <w:t>n</w:t>
            </w:r>
            <w:bookmarkEnd w:id="74"/>
            <w:bookmarkEnd w:id="75"/>
          </w:p>
        </w:tc>
      </w:tr>
    </w:tbl>
    <w:p w14:paraId="1524AAD1" w14:textId="0A568B62" w:rsidR="00AB766A" w:rsidRPr="00E3754A" w:rsidRDefault="006B3646" w:rsidP="00AB766A">
      <w:pPr>
        <w:pStyle w:val="NoSpacing"/>
        <w:rPr>
          <w:lang w:val="en-AU"/>
        </w:rPr>
      </w:pPr>
      <w:r w:rsidRPr="00E3754A">
        <w:rPr>
          <w:lang w:val="en-AU"/>
        </w:rPr>
        <w:t xml:space="preserve">This section is concerned with </w:t>
      </w:r>
      <w:r w:rsidR="006D545F" w:rsidRPr="00E3754A">
        <w:rPr>
          <w:lang w:val="en-AU"/>
        </w:rPr>
        <w:t xml:space="preserve">Question </w:t>
      </w:r>
      <w:r w:rsidRPr="00E3754A">
        <w:rPr>
          <w:lang w:val="en-AU"/>
        </w:rPr>
        <w:t xml:space="preserve">8, </w:t>
      </w:r>
      <w:r w:rsidR="00AD6F08" w:rsidRPr="00E3754A">
        <w:rPr>
          <w:lang w:val="en-AU"/>
        </w:rPr>
        <w:t>specifically</w:t>
      </w:r>
      <w:r w:rsidRPr="00E3754A">
        <w:rPr>
          <w:lang w:val="en-AU"/>
        </w:rPr>
        <w:t xml:space="preserve"> </w:t>
      </w:r>
      <w:r w:rsidR="004D08EF" w:rsidRPr="00E3754A">
        <w:rPr>
          <w:lang w:val="en-AU"/>
        </w:rPr>
        <w:t xml:space="preserve">the </w:t>
      </w:r>
      <w:r w:rsidR="00891D03" w:rsidRPr="00E3754A">
        <w:rPr>
          <w:lang w:val="en-AU"/>
        </w:rPr>
        <w:t>safeguard</w:t>
      </w:r>
      <w:r w:rsidR="004D08EF" w:rsidRPr="00E3754A">
        <w:rPr>
          <w:lang w:val="en-AU"/>
        </w:rPr>
        <w:t>s</w:t>
      </w:r>
      <w:r w:rsidR="00891D03" w:rsidRPr="00E3754A">
        <w:rPr>
          <w:lang w:val="en-AU"/>
        </w:rPr>
        <w:t xml:space="preserve"> required</w:t>
      </w:r>
      <w:r w:rsidRPr="00E3754A">
        <w:rPr>
          <w:lang w:val="en-AU"/>
        </w:rPr>
        <w:t xml:space="preserve"> for disabled people exercising their legal capacity. </w:t>
      </w:r>
      <w:r w:rsidR="009E1034" w:rsidRPr="00E3754A">
        <w:rPr>
          <w:lang w:val="en-AU"/>
        </w:rPr>
        <w:t xml:space="preserve">Further and more in-depth </w:t>
      </w:r>
      <w:r w:rsidR="00AB766A" w:rsidRPr="00E3754A">
        <w:rPr>
          <w:lang w:val="en-AU"/>
        </w:rPr>
        <w:t xml:space="preserve">research </w:t>
      </w:r>
      <w:r w:rsidR="00177FAC" w:rsidRPr="00E3754A">
        <w:rPr>
          <w:lang w:val="en-AU"/>
        </w:rPr>
        <w:t>is required in order</w:t>
      </w:r>
      <w:r w:rsidR="00AB766A" w:rsidRPr="00E3754A">
        <w:rPr>
          <w:lang w:val="en-AU"/>
        </w:rPr>
        <w:t xml:space="preserve"> to identify and understand the challenges that </w:t>
      </w:r>
      <w:r w:rsidR="002C5EA2" w:rsidRPr="00E3754A">
        <w:rPr>
          <w:lang w:val="en-AU"/>
        </w:rPr>
        <w:t xml:space="preserve">disabled </w:t>
      </w:r>
      <w:r w:rsidR="004D08EF" w:rsidRPr="00E3754A">
        <w:rPr>
          <w:lang w:val="en-AU"/>
        </w:rPr>
        <w:t xml:space="preserve">people </w:t>
      </w:r>
      <w:r w:rsidR="00AB766A" w:rsidRPr="00E3754A">
        <w:rPr>
          <w:lang w:val="en-AU"/>
        </w:rPr>
        <w:t xml:space="preserve">still face in the context of supported decision-making (Gooding, 2015; Lang et al., 2011). </w:t>
      </w:r>
      <w:r w:rsidR="0017478F" w:rsidRPr="00E3754A">
        <w:rPr>
          <w:lang w:val="en-AU"/>
        </w:rPr>
        <w:t>As noted above, the</w:t>
      </w:r>
      <w:r w:rsidR="00AB766A" w:rsidRPr="00E3754A">
        <w:rPr>
          <w:lang w:val="en-AU"/>
        </w:rPr>
        <w:t xml:space="preserve"> challenge presented to </w:t>
      </w:r>
      <w:r w:rsidR="00FA30D7" w:rsidRPr="00E3754A">
        <w:rPr>
          <w:lang w:val="en-AU"/>
        </w:rPr>
        <w:t>states parties</w:t>
      </w:r>
      <w:r w:rsidR="00AB766A" w:rsidRPr="00E3754A">
        <w:rPr>
          <w:lang w:val="en-AU"/>
        </w:rPr>
        <w:t xml:space="preserve"> to the </w:t>
      </w:r>
      <w:r w:rsidR="00C56879" w:rsidRPr="00E3754A">
        <w:rPr>
          <w:lang w:val="en-AU"/>
        </w:rPr>
        <w:t>Convention</w:t>
      </w:r>
      <w:r w:rsidR="00AB766A" w:rsidRPr="00E3754A">
        <w:rPr>
          <w:lang w:val="en-AU"/>
        </w:rPr>
        <w:t xml:space="preserve"> is implementing safeguards that find the right balance between freedom for and protection of </w:t>
      </w:r>
      <w:r w:rsidR="002C5EA2" w:rsidRPr="00E3754A">
        <w:rPr>
          <w:lang w:val="en-AU"/>
        </w:rPr>
        <w:t xml:space="preserve">disabled </w:t>
      </w:r>
      <w:r w:rsidR="009E1034" w:rsidRPr="00E3754A">
        <w:rPr>
          <w:lang w:val="en-AU"/>
        </w:rPr>
        <w:t xml:space="preserve">people </w:t>
      </w:r>
      <w:r w:rsidR="00AB766A" w:rsidRPr="00E3754A">
        <w:rPr>
          <w:lang w:val="en-AU"/>
        </w:rPr>
        <w:t xml:space="preserve">but also serve to realise the will and preferences of </w:t>
      </w:r>
      <w:r w:rsidR="009E1034" w:rsidRPr="00E3754A">
        <w:rPr>
          <w:lang w:val="en-AU"/>
        </w:rPr>
        <w:t>those same individuals</w:t>
      </w:r>
      <w:r w:rsidR="00C723CA" w:rsidRPr="00E3754A">
        <w:rPr>
          <w:lang w:val="en-AU"/>
        </w:rPr>
        <w:t xml:space="preserve"> (Arstein-Kerslake and Flynn, 2015; Gooding, 2015)</w:t>
      </w:r>
      <w:r w:rsidR="00AB766A" w:rsidRPr="00E3754A">
        <w:rPr>
          <w:lang w:val="en-AU"/>
        </w:rPr>
        <w:t xml:space="preserve">. </w:t>
      </w:r>
    </w:p>
    <w:p w14:paraId="3B4903AC" w14:textId="2E6A8F01" w:rsidR="00392157" w:rsidRPr="00E3754A" w:rsidRDefault="00AB766A" w:rsidP="00392157">
      <w:pPr>
        <w:pStyle w:val="NoSpacing"/>
        <w:rPr>
          <w:lang w:val="en-AU"/>
        </w:rPr>
      </w:pPr>
      <w:r w:rsidRPr="00E3754A">
        <w:rPr>
          <w:lang w:val="en-AU"/>
        </w:rPr>
        <w:t xml:space="preserve">It has been suggested that safeguards could take the form of: robust means of addressing exploitation of </w:t>
      </w:r>
      <w:r w:rsidR="002C5EA2" w:rsidRPr="00E3754A">
        <w:rPr>
          <w:lang w:val="en-AU"/>
        </w:rPr>
        <w:t>disabled person</w:t>
      </w:r>
      <w:r w:rsidRPr="00E3754A">
        <w:rPr>
          <w:lang w:val="en-AU"/>
        </w:rPr>
        <w:t xml:space="preserve">s; dispute-resolving procedures in circumstances where ‘best interpretations’ of a </w:t>
      </w:r>
      <w:r w:rsidR="002C5EA2" w:rsidRPr="00E3754A">
        <w:rPr>
          <w:lang w:val="en-AU"/>
        </w:rPr>
        <w:t>disabled person</w:t>
      </w:r>
      <w:r w:rsidRPr="00E3754A">
        <w:rPr>
          <w:lang w:val="en-AU"/>
        </w:rPr>
        <w:t xml:space="preserve">’s will and preference conflict (Gooding, 2015); monitoring of human rights abuses; availability of financial resources; </w:t>
      </w:r>
      <w:r w:rsidR="009E1034" w:rsidRPr="00E3754A">
        <w:rPr>
          <w:lang w:val="en-AU"/>
        </w:rPr>
        <w:t xml:space="preserve">and </w:t>
      </w:r>
      <w:r w:rsidRPr="00E3754A">
        <w:rPr>
          <w:lang w:val="en-AU"/>
        </w:rPr>
        <w:t>evaluations of supported decision-making policies and programmes (Lang et al., 2011).</w:t>
      </w:r>
      <w:r w:rsidR="00392157" w:rsidRPr="00E3754A">
        <w:rPr>
          <w:lang w:val="en-AU"/>
        </w:rPr>
        <w:t xml:space="preserve"> In discarding the notion of incapacity</w:t>
      </w:r>
      <w:r w:rsidR="00C52DFD" w:rsidRPr="00E3754A">
        <w:rPr>
          <w:lang w:val="en-AU"/>
        </w:rPr>
        <w:t>, as is required under a radical interpretation of the Convention</w:t>
      </w:r>
      <w:r w:rsidR="00392157" w:rsidRPr="00E3754A">
        <w:rPr>
          <w:lang w:val="en-AU"/>
        </w:rPr>
        <w:t xml:space="preserve">, a person can never be denied legal agency under law as a </w:t>
      </w:r>
      <w:r w:rsidR="00C52DFD" w:rsidRPr="00E3754A">
        <w:rPr>
          <w:lang w:val="en-AU"/>
        </w:rPr>
        <w:t xml:space="preserve">means to </w:t>
      </w:r>
      <w:r w:rsidR="00392157" w:rsidRPr="00E3754A">
        <w:rPr>
          <w:lang w:val="en-AU"/>
        </w:rPr>
        <w:t>safeguard</w:t>
      </w:r>
      <w:r w:rsidR="00C52DFD" w:rsidRPr="00E3754A">
        <w:rPr>
          <w:lang w:val="en-AU"/>
        </w:rPr>
        <w:t>ing their welfare</w:t>
      </w:r>
      <w:r w:rsidR="004D08EF" w:rsidRPr="00E3754A">
        <w:rPr>
          <w:lang w:val="en-AU"/>
        </w:rPr>
        <w:t xml:space="preserve"> </w:t>
      </w:r>
      <w:r w:rsidR="00392157" w:rsidRPr="00E3754A">
        <w:rPr>
          <w:lang w:val="en-AU"/>
        </w:rPr>
        <w:t>(Bartlett, 2012). Ultimately, safeguards must serve to protect and ensure respect for disabled persons rights to legal capacity (General Comment</w:t>
      </w:r>
      <w:r w:rsidR="004D08EF" w:rsidRPr="00E3754A">
        <w:rPr>
          <w:lang w:val="en-AU"/>
        </w:rPr>
        <w:t xml:space="preserve"> No. 1</w:t>
      </w:r>
      <w:r w:rsidR="00392157" w:rsidRPr="00E3754A">
        <w:rPr>
          <w:lang w:val="en-AU"/>
        </w:rPr>
        <w:t xml:space="preserve">). </w:t>
      </w:r>
    </w:p>
    <w:p w14:paraId="3AB9D8C9" w14:textId="12D56585" w:rsidR="00AB766A" w:rsidRPr="00E3754A" w:rsidRDefault="00AB766A" w:rsidP="00AB766A">
      <w:pPr>
        <w:pStyle w:val="NoSpacing"/>
        <w:rPr>
          <w:lang w:val="en-AU"/>
        </w:rPr>
      </w:pPr>
    </w:p>
    <w:p w14:paraId="39B161FD" w14:textId="65090970" w:rsidR="009E38DE" w:rsidRPr="00E3754A" w:rsidRDefault="009E38DE" w:rsidP="009E38DE">
      <w:pPr>
        <w:pStyle w:val="Heading4"/>
        <w:rPr>
          <w:lang w:val="en-AU"/>
        </w:rPr>
      </w:pPr>
      <w:r w:rsidRPr="00E3754A">
        <w:rPr>
          <w:lang w:val="en-AU"/>
        </w:rPr>
        <w:t>Perceptions of disability</w:t>
      </w:r>
    </w:p>
    <w:p w14:paraId="4660DAA8" w14:textId="60EE6C80" w:rsidR="002A68C5" w:rsidRPr="00E3754A" w:rsidRDefault="002A68C5" w:rsidP="00D900D4">
      <w:pPr>
        <w:pStyle w:val="NoSpacing"/>
        <w:rPr>
          <w:lang w:val="en-AU"/>
        </w:rPr>
      </w:pPr>
      <w:r w:rsidRPr="00E3754A">
        <w:rPr>
          <w:lang w:val="en-AU"/>
        </w:rPr>
        <w:t>Most frequently noted is that perceptions of disability held by supporters, pr</w:t>
      </w:r>
      <w:r w:rsidR="00870013" w:rsidRPr="00E3754A">
        <w:rPr>
          <w:lang w:val="en-AU"/>
        </w:rPr>
        <w:t xml:space="preserve">ofessionals, and/or society </w:t>
      </w:r>
      <w:r w:rsidR="004D08EF" w:rsidRPr="00E3754A">
        <w:rPr>
          <w:lang w:val="en-AU"/>
        </w:rPr>
        <w:t xml:space="preserve">are </w:t>
      </w:r>
      <w:r w:rsidRPr="00E3754A">
        <w:rPr>
          <w:lang w:val="en-AU"/>
        </w:rPr>
        <w:t xml:space="preserve">significant to the participation of </w:t>
      </w:r>
      <w:r w:rsidR="00870013" w:rsidRPr="00E3754A">
        <w:rPr>
          <w:lang w:val="en-AU"/>
        </w:rPr>
        <w:t>disab</w:t>
      </w:r>
      <w:r w:rsidR="004D08EF" w:rsidRPr="00E3754A">
        <w:rPr>
          <w:lang w:val="en-AU"/>
        </w:rPr>
        <w:t>led people</w:t>
      </w:r>
      <w:r w:rsidR="00870013" w:rsidRPr="00E3754A">
        <w:rPr>
          <w:lang w:val="en-AU"/>
        </w:rPr>
        <w:t xml:space="preserve"> and the realis</w:t>
      </w:r>
      <w:r w:rsidRPr="00E3754A">
        <w:rPr>
          <w:lang w:val="en-AU"/>
        </w:rPr>
        <w:t>ation of Article 12 (Chan, 2016; Smaill 2016; Watson, 2016a; Watson, 2016b).</w:t>
      </w:r>
      <w:r w:rsidR="00AC0667" w:rsidRPr="00E3754A">
        <w:rPr>
          <w:rStyle w:val="FootnoteReference"/>
          <w:lang w:val="en-AU"/>
        </w:rPr>
        <w:footnoteReference w:id="21"/>
      </w:r>
      <w:r w:rsidRPr="00E3754A">
        <w:rPr>
          <w:lang w:val="en-AU"/>
        </w:rPr>
        <w:t xml:space="preserve"> </w:t>
      </w:r>
      <w:r w:rsidR="003D0A9B" w:rsidRPr="00E3754A">
        <w:rPr>
          <w:lang w:val="en-AU"/>
        </w:rPr>
        <w:t xml:space="preserve">Upon the status of having an intellectual disability, for example, people are </w:t>
      </w:r>
      <w:r w:rsidR="009E1034" w:rsidRPr="00E3754A">
        <w:rPr>
          <w:lang w:val="en-AU"/>
        </w:rPr>
        <w:t xml:space="preserve">often </w:t>
      </w:r>
      <w:r w:rsidR="003D0A9B" w:rsidRPr="00E3754A">
        <w:rPr>
          <w:lang w:val="en-AU"/>
        </w:rPr>
        <w:t>assumed to be incapable of decision-making</w:t>
      </w:r>
      <w:r w:rsidR="009E1034" w:rsidRPr="00E3754A">
        <w:rPr>
          <w:lang w:val="en-AU"/>
        </w:rPr>
        <w:t>,</w:t>
      </w:r>
      <w:r w:rsidR="003D0A9B" w:rsidRPr="00E3754A">
        <w:rPr>
          <w:lang w:val="en-AU"/>
        </w:rPr>
        <w:t xml:space="preserve"> along with other negative perceptions (Dorozenko et al., 2016). </w:t>
      </w:r>
      <w:r w:rsidRPr="00E3754A">
        <w:rPr>
          <w:lang w:val="en-AU"/>
        </w:rPr>
        <w:t xml:space="preserve">Negative perceptions of disability affect how </w:t>
      </w:r>
      <w:r w:rsidR="002C5EA2" w:rsidRPr="00E3754A">
        <w:rPr>
          <w:lang w:val="en-AU"/>
        </w:rPr>
        <w:t>disabled person</w:t>
      </w:r>
      <w:r w:rsidRPr="00E3754A">
        <w:rPr>
          <w:lang w:val="en-AU"/>
        </w:rPr>
        <w:t>s are treated, and thus supporters</w:t>
      </w:r>
      <w:r w:rsidR="007307C7" w:rsidRPr="00E3754A">
        <w:rPr>
          <w:lang w:val="en-AU"/>
        </w:rPr>
        <w:t>’</w:t>
      </w:r>
      <w:r w:rsidRPr="00E3754A">
        <w:rPr>
          <w:lang w:val="en-AU"/>
        </w:rPr>
        <w:t xml:space="preserve"> perceptions can negatively impact support (Chan, 2016; Watson, 2016a). Perceptions of disability remain an obstacle to </w:t>
      </w:r>
      <w:r w:rsidR="002C5EA2" w:rsidRPr="00E3754A">
        <w:rPr>
          <w:lang w:val="en-AU"/>
        </w:rPr>
        <w:t>disabled person</w:t>
      </w:r>
      <w:r w:rsidRPr="00E3754A">
        <w:rPr>
          <w:lang w:val="en-AU"/>
        </w:rPr>
        <w:t>s</w:t>
      </w:r>
      <w:r w:rsidR="007307C7" w:rsidRPr="00E3754A">
        <w:rPr>
          <w:lang w:val="en-AU"/>
        </w:rPr>
        <w:t>’</w:t>
      </w:r>
      <w:r w:rsidRPr="00E3754A">
        <w:rPr>
          <w:lang w:val="en-AU"/>
        </w:rPr>
        <w:t xml:space="preserve"> opportunities for and participation in decision-making (Chan, 2016;</w:t>
      </w:r>
      <w:r w:rsidR="003D0A9B" w:rsidRPr="00E3754A">
        <w:rPr>
          <w:lang w:val="en-AU"/>
        </w:rPr>
        <w:t xml:space="preserve"> Dorozenko et al., 2016;</w:t>
      </w:r>
      <w:r w:rsidRPr="00E3754A">
        <w:rPr>
          <w:lang w:val="en-AU"/>
        </w:rPr>
        <w:t xml:space="preserve"> Watson, 2016a; Watson, 2016b). For example, social perceptions </w:t>
      </w:r>
      <w:r w:rsidR="009E1034" w:rsidRPr="00E3754A">
        <w:rPr>
          <w:lang w:val="en-AU"/>
        </w:rPr>
        <w:t>about</w:t>
      </w:r>
      <w:r w:rsidRPr="00E3754A">
        <w:rPr>
          <w:lang w:val="en-AU"/>
        </w:rPr>
        <w:t xml:space="preserve"> whether </w:t>
      </w:r>
      <w:r w:rsidR="002C5EA2" w:rsidRPr="00E3754A">
        <w:rPr>
          <w:lang w:val="en-AU"/>
        </w:rPr>
        <w:t xml:space="preserve">disabled </w:t>
      </w:r>
      <w:r w:rsidR="007307C7" w:rsidRPr="00E3754A">
        <w:rPr>
          <w:lang w:val="en-AU"/>
        </w:rPr>
        <w:t xml:space="preserve">people </w:t>
      </w:r>
      <w:r w:rsidRPr="00E3754A">
        <w:rPr>
          <w:lang w:val="en-AU"/>
        </w:rPr>
        <w:t>should be ex</w:t>
      </w:r>
      <w:r w:rsidR="007477F4" w:rsidRPr="00E3754A">
        <w:rPr>
          <w:lang w:val="en-AU"/>
        </w:rPr>
        <w:t>erting sexual agency impacts a</w:t>
      </w:r>
      <w:r w:rsidRPr="00E3754A">
        <w:rPr>
          <w:lang w:val="en-AU"/>
        </w:rPr>
        <w:t xml:space="preserve"> person</w:t>
      </w:r>
      <w:r w:rsidR="007477F4" w:rsidRPr="00E3754A">
        <w:rPr>
          <w:lang w:val="en-AU"/>
        </w:rPr>
        <w:t>’s ability and opportunity</w:t>
      </w:r>
      <w:r w:rsidRPr="00E3754A">
        <w:rPr>
          <w:lang w:val="en-AU"/>
        </w:rPr>
        <w:t xml:space="preserve"> to make sexual and reproductive choices (Werner, 2012).</w:t>
      </w:r>
      <w:r w:rsidR="00BF5EFA" w:rsidRPr="00E3754A">
        <w:rPr>
          <w:lang w:val="en-AU"/>
        </w:rPr>
        <w:t xml:space="preserve"> Related to this issue is the common perception that disabled people occupy a state of permanent non-adulthood, and thus their interests and behaviours should be childish or non-adult accordingly (Dorozenko et al., 2016). </w:t>
      </w:r>
      <w:r w:rsidRPr="00E3754A">
        <w:rPr>
          <w:lang w:val="en-AU"/>
        </w:rPr>
        <w:t>There is also a tendency for people to be more i</w:t>
      </w:r>
      <w:r w:rsidR="00AD6F08" w:rsidRPr="00E3754A">
        <w:rPr>
          <w:lang w:val="en-AU"/>
        </w:rPr>
        <w:t>nterventionist</w:t>
      </w:r>
      <w:r w:rsidRPr="00E3754A">
        <w:rPr>
          <w:lang w:val="en-AU"/>
        </w:rPr>
        <w:t xml:space="preserve"> on the basis of assumptions and low expectations of </w:t>
      </w:r>
      <w:r w:rsidR="002C5EA2" w:rsidRPr="00E3754A">
        <w:rPr>
          <w:lang w:val="en-AU"/>
        </w:rPr>
        <w:t xml:space="preserve">disabled </w:t>
      </w:r>
      <w:r w:rsidR="009E1034" w:rsidRPr="00E3754A">
        <w:rPr>
          <w:lang w:val="en-AU"/>
        </w:rPr>
        <w:t xml:space="preserve">people’s </w:t>
      </w:r>
      <w:r w:rsidR="00AD6F08" w:rsidRPr="00E3754A">
        <w:rPr>
          <w:lang w:val="en-AU"/>
        </w:rPr>
        <w:t>decision-making ability</w:t>
      </w:r>
      <w:r w:rsidRPr="00E3754A">
        <w:rPr>
          <w:lang w:val="en-AU"/>
        </w:rPr>
        <w:t xml:space="preserve"> (Jameson et al., 2015). </w:t>
      </w:r>
      <w:r w:rsidR="00A02BF2" w:rsidRPr="00E3754A">
        <w:rPr>
          <w:lang w:val="en-AU"/>
        </w:rPr>
        <w:t>In addition</w:t>
      </w:r>
      <w:r w:rsidRPr="00E3754A">
        <w:rPr>
          <w:lang w:val="en-AU"/>
        </w:rPr>
        <w:t xml:space="preserve">, perceptions of a </w:t>
      </w:r>
      <w:r w:rsidR="002C5EA2" w:rsidRPr="00E3754A">
        <w:rPr>
          <w:lang w:val="en-AU"/>
        </w:rPr>
        <w:t>disabled person</w:t>
      </w:r>
      <w:r w:rsidRPr="00E3754A">
        <w:rPr>
          <w:lang w:val="en-AU"/>
        </w:rPr>
        <w:t xml:space="preserve">’s decision-making ability affect the </w:t>
      </w:r>
      <w:r w:rsidRPr="00E3754A">
        <w:rPr>
          <w:i/>
          <w:lang w:val="en-AU"/>
        </w:rPr>
        <w:t>opportunities</w:t>
      </w:r>
      <w:r w:rsidRPr="00E3754A">
        <w:rPr>
          <w:lang w:val="en-AU"/>
        </w:rPr>
        <w:t xml:space="preserve"> </w:t>
      </w:r>
      <w:r w:rsidR="00A02BF2" w:rsidRPr="00E3754A">
        <w:rPr>
          <w:lang w:val="en-AU"/>
        </w:rPr>
        <w:t xml:space="preserve">offered </w:t>
      </w:r>
      <w:r w:rsidRPr="00E3754A">
        <w:rPr>
          <w:lang w:val="en-AU"/>
        </w:rPr>
        <w:t>for decision-making</w:t>
      </w:r>
      <w:r w:rsidR="00A02BF2" w:rsidRPr="00E3754A">
        <w:rPr>
          <w:lang w:val="en-AU"/>
        </w:rPr>
        <w:t xml:space="preserve">, and thus </w:t>
      </w:r>
      <w:r w:rsidR="00467867" w:rsidRPr="00E3754A">
        <w:rPr>
          <w:lang w:val="en-AU"/>
        </w:rPr>
        <w:t xml:space="preserve">the </w:t>
      </w:r>
      <w:r w:rsidR="00A02BF2" w:rsidRPr="00E3754A">
        <w:rPr>
          <w:lang w:val="en-AU"/>
        </w:rPr>
        <w:t>choices</w:t>
      </w:r>
      <w:r w:rsidR="00467867" w:rsidRPr="00E3754A">
        <w:rPr>
          <w:lang w:val="en-AU"/>
        </w:rPr>
        <w:t xml:space="preserve"> made</w:t>
      </w:r>
      <w:r w:rsidRPr="00E3754A">
        <w:rPr>
          <w:lang w:val="en-AU"/>
        </w:rPr>
        <w:t xml:space="preserve"> (Watson, 2016a). Further, supporters and others are more likely to have </w:t>
      </w:r>
      <w:r w:rsidR="00A02BF2" w:rsidRPr="00E3754A">
        <w:rPr>
          <w:lang w:val="en-AU"/>
        </w:rPr>
        <w:t>more significant</w:t>
      </w:r>
      <w:r w:rsidRPr="00E3754A">
        <w:rPr>
          <w:lang w:val="en-AU"/>
        </w:rPr>
        <w:t xml:space="preserve"> negative perceptions of </w:t>
      </w:r>
      <w:r w:rsidR="002C5EA2" w:rsidRPr="00E3754A">
        <w:rPr>
          <w:lang w:val="en-AU"/>
        </w:rPr>
        <w:t>disabled person</w:t>
      </w:r>
      <w:r w:rsidRPr="00E3754A">
        <w:rPr>
          <w:lang w:val="en-AU"/>
        </w:rPr>
        <w:t>s with severe or profound disability, which in turn</w:t>
      </w:r>
      <w:r w:rsidR="00467867" w:rsidRPr="00E3754A">
        <w:rPr>
          <w:lang w:val="en-AU"/>
        </w:rPr>
        <w:t xml:space="preserve"> more significantly</w:t>
      </w:r>
      <w:r w:rsidRPr="00E3754A">
        <w:rPr>
          <w:lang w:val="en-AU"/>
        </w:rPr>
        <w:t xml:space="preserve"> </w:t>
      </w:r>
      <w:r w:rsidR="00467867" w:rsidRPr="00E3754A">
        <w:rPr>
          <w:lang w:val="en-AU"/>
        </w:rPr>
        <w:t>e</w:t>
      </w:r>
      <w:r w:rsidRPr="00E3754A">
        <w:rPr>
          <w:lang w:val="en-AU"/>
        </w:rPr>
        <w:t>ffects how they are treated and supported (Watson, 2016a).</w:t>
      </w:r>
    </w:p>
    <w:p w14:paraId="56438241" w14:textId="7FD6F2B3" w:rsidR="004821B6" w:rsidRPr="00E3754A" w:rsidRDefault="00235046" w:rsidP="002A68C5">
      <w:pPr>
        <w:rPr>
          <w:lang w:val="en-AU"/>
        </w:rPr>
      </w:pPr>
      <w:r w:rsidRPr="00E3754A">
        <w:rPr>
          <w:lang w:val="en-AU"/>
        </w:rPr>
        <w:t xml:space="preserve">Werner et al. (2013) </w:t>
      </w:r>
      <w:r w:rsidR="009E1034" w:rsidRPr="00E3754A">
        <w:rPr>
          <w:lang w:val="en-AU"/>
        </w:rPr>
        <w:t xml:space="preserve">for example, </w:t>
      </w:r>
      <w:r w:rsidRPr="00E3754A">
        <w:rPr>
          <w:lang w:val="en-AU"/>
        </w:rPr>
        <w:t>provide</w:t>
      </w:r>
      <w:r w:rsidR="002A68C5" w:rsidRPr="00E3754A">
        <w:rPr>
          <w:lang w:val="en-AU"/>
        </w:rPr>
        <w:t xml:space="preserve"> evidence of psychiatrists </w:t>
      </w:r>
      <w:r w:rsidR="009E1034" w:rsidRPr="00E3754A">
        <w:rPr>
          <w:lang w:val="en-AU"/>
        </w:rPr>
        <w:t xml:space="preserve">holding </w:t>
      </w:r>
      <w:r w:rsidR="002A68C5" w:rsidRPr="00E3754A">
        <w:rPr>
          <w:lang w:val="en-AU"/>
        </w:rPr>
        <w:t xml:space="preserve">negative attitudes and perceptions of </w:t>
      </w:r>
      <w:r w:rsidR="002C5EA2" w:rsidRPr="00E3754A">
        <w:rPr>
          <w:lang w:val="en-AU"/>
        </w:rPr>
        <w:t xml:space="preserve">disabled </w:t>
      </w:r>
      <w:r w:rsidR="009E1034" w:rsidRPr="00E3754A">
        <w:rPr>
          <w:lang w:val="en-AU"/>
        </w:rPr>
        <w:t>people</w:t>
      </w:r>
      <w:r w:rsidR="002A68C5" w:rsidRPr="00E3754A">
        <w:rPr>
          <w:lang w:val="en-AU"/>
        </w:rPr>
        <w:t xml:space="preserve">, including </w:t>
      </w:r>
      <w:r w:rsidR="009E1034" w:rsidRPr="00E3754A">
        <w:rPr>
          <w:lang w:val="en-AU"/>
        </w:rPr>
        <w:t xml:space="preserve">a </w:t>
      </w:r>
      <w:r w:rsidR="002A68C5" w:rsidRPr="00E3754A">
        <w:rPr>
          <w:lang w:val="en-AU"/>
        </w:rPr>
        <w:t xml:space="preserve">reluctance </w:t>
      </w:r>
      <w:r w:rsidR="00F729E5" w:rsidRPr="00E3754A">
        <w:rPr>
          <w:lang w:val="en-AU"/>
        </w:rPr>
        <w:t>to be involved in their care</w:t>
      </w:r>
      <w:r w:rsidR="002A68C5" w:rsidRPr="00E3754A">
        <w:rPr>
          <w:lang w:val="en-AU"/>
        </w:rPr>
        <w:t xml:space="preserve">. Similarly, McSherry &amp; Wilson (2011) provide evidence that professionals in New Zealand and Australia have the perception that human rights approaches were a waste of resources and too demanding on professional time. Pathare &amp; Shields (2012) found that psychiatrists can find supported decision-making processes stressful and perceive </w:t>
      </w:r>
      <w:r w:rsidR="002C5EA2" w:rsidRPr="00E3754A">
        <w:rPr>
          <w:lang w:val="en-AU"/>
        </w:rPr>
        <w:t>disabled person</w:t>
      </w:r>
      <w:r w:rsidR="002A68C5" w:rsidRPr="00E3754A">
        <w:rPr>
          <w:lang w:val="en-AU"/>
        </w:rPr>
        <w:t xml:space="preserve">s as difficult to treat. </w:t>
      </w:r>
      <w:r w:rsidR="006C41CB" w:rsidRPr="00E3754A">
        <w:rPr>
          <w:lang w:val="en-AU"/>
        </w:rPr>
        <w:t xml:space="preserve">IHC (n.d.) describes some of the negative perceptions encountered in the New Zealand context, including seeing disabled people as an ‘other’ and/or a burden. Werner (2012) explores the evidence that perceptions impact on disabled people’s participation in the job market and how their employment choices are impacted by societal bias rather than their will and preference. Subsequently, </w:t>
      </w:r>
      <w:r w:rsidR="002A68C5" w:rsidRPr="00E3754A">
        <w:rPr>
          <w:lang w:val="en-AU"/>
        </w:rPr>
        <w:t xml:space="preserve">Werner et al. (2013) argue that provisions need to be made for improving the perceptions of professionals so to better enable the participation of </w:t>
      </w:r>
      <w:r w:rsidR="002C5EA2" w:rsidRPr="00E3754A">
        <w:rPr>
          <w:lang w:val="en-AU"/>
        </w:rPr>
        <w:t xml:space="preserve">disabled </w:t>
      </w:r>
      <w:r w:rsidR="00F5294C">
        <w:rPr>
          <w:lang w:val="en-AU"/>
        </w:rPr>
        <w:t>people</w:t>
      </w:r>
      <w:r w:rsidR="00F5294C" w:rsidRPr="00E3754A">
        <w:rPr>
          <w:lang w:val="en-AU"/>
        </w:rPr>
        <w:t xml:space="preserve"> </w:t>
      </w:r>
      <w:r w:rsidR="002A68C5" w:rsidRPr="00E3754A">
        <w:rPr>
          <w:lang w:val="en-AU"/>
        </w:rPr>
        <w:t xml:space="preserve">in decision-making, as is in the spirit of the Convention. It is argued that perceptions need to shift at the level of practice to perceiving disability through the social model and having an increased awareness of the obstacles and forms of discrimination </w:t>
      </w:r>
      <w:r w:rsidR="002C5EA2" w:rsidRPr="00E3754A">
        <w:rPr>
          <w:lang w:val="en-AU"/>
        </w:rPr>
        <w:t xml:space="preserve">disabled </w:t>
      </w:r>
      <w:r w:rsidR="006C41CB" w:rsidRPr="00E3754A">
        <w:rPr>
          <w:lang w:val="en-AU"/>
        </w:rPr>
        <w:t xml:space="preserve">people </w:t>
      </w:r>
      <w:r w:rsidR="002A68C5" w:rsidRPr="00E3754A">
        <w:rPr>
          <w:lang w:val="en-AU"/>
        </w:rPr>
        <w:t xml:space="preserve">face (Umeasiegbu, 2013). </w:t>
      </w:r>
      <w:r w:rsidR="004821B6" w:rsidRPr="00E3754A">
        <w:rPr>
          <w:lang w:val="en-AU"/>
        </w:rPr>
        <w:t xml:space="preserve">Further, </w:t>
      </w:r>
      <w:r w:rsidR="002A68C5" w:rsidRPr="00E3754A">
        <w:rPr>
          <w:lang w:val="en-AU"/>
        </w:rPr>
        <w:t xml:space="preserve">Chan (2016) </w:t>
      </w:r>
      <w:r w:rsidR="000C063E" w:rsidRPr="00E3754A">
        <w:rPr>
          <w:lang w:val="en-AU"/>
        </w:rPr>
        <w:t xml:space="preserve">and Stein &amp; Lord (2008) </w:t>
      </w:r>
      <w:r w:rsidR="002A68C5" w:rsidRPr="00E3754A">
        <w:rPr>
          <w:lang w:val="en-AU"/>
        </w:rPr>
        <w:t xml:space="preserve">caution that negative perceptions are particularly reinforced in language and the media. If </w:t>
      </w:r>
      <w:r w:rsidR="00FA30D7" w:rsidRPr="00E3754A">
        <w:rPr>
          <w:lang w:val="en-AU"/>
        </w:rPr>
        <w:t>states parties</w:t>
      </w:r>
      <w:r w:rsidR="002A68C5" w:rsidRPr="00E3754A">
        <w:rPr>
          <w:lang w:val="en-AU"/>
        </w:rPr>
        <w:t xml:space="preserve"> have an obligation to optimi</w:t>
      </w:r>
      <w:r w:rsidR="004821B6" w:rsidRPr="00E3754A">
        <w:rPr>
          <w:lang w:val="en-AU"/>
        </w:rPr>
        <w:t>s</w:t>
      </w:r>
      <w:r w:rsidR="002A68C5" w:rsidRPr="00E3754A">
        <w:rPr>
          <w:lang w:val="en-AU"/>
        </w:rPr>
        <w:t xml:space="preserve">e the participation of </w:t>
      </w:r>
      <w:r w:rsidR="002C5EA2" w:rsidRPr="00E3754A">
        <w:rPr>
          <w:lang w:val="en-AU"/>
        </w:rPr>
        <w:t xml:space="preserve">disabled </w:t>
      </w:r>
      <w:r w:rsidR="00F5294C">
        <w:rPr>
          <w:lang w:val="en-AU"/>
        </w:rPr>
        <w:t>people</w:t>
      </w:r>
      <w:r w:rsidR="00F5294C" w:rsidRPr="00E3754A">
        <w:rPr>
          <w:lang w:val="en-AU"/>
        </w:rPr>
        <w:t xml:space="preserve"> </w:t>
      </w:r>
      <w:r w:rsidR="002A68C5" w:rsidRPr="00E3754A">
        <w:rPr>
          <w:lang w:val="en-AU"/>
        </w:rPr>
        <w:t xml:space="preserve">in decision-making and society, then this </w:t>
      </w:r>
      <w:r w:rsidR="00501516" w:rsidRPr="00E3754A">
        <w:rPr>
          <w:lang w:val="en-AU"/>
        </w:rPr>
        <w:t>caution</w:t>
      </w:r>
      <w:r w:rsidR="002A68C5" w:rsidRPr="00E3754A">
        <w:rPr>
          <w:lang w:val="en-AU"/>
        </w:rPr>
        <w:t xml:space="preserve"> could serve as a suggestion for jurisdictions to address the perceptions reproduced in the media and encourage society to employ the use of more respectful language.</w:t>
      </w:r>
      <w:r w:rsidR="00501516" w:rsidRPr="00E3754A">
        <w:rPr>
          <w:lang w:val="en-AU"/>
        </w:rPr>
        <w:t xml:space="preserve"> </w:t>
      </w:r>
    </w:p>
    <w:p w14:paraId="25561FA2" w14:textId="7429AD91" w:rsidR="002A68C5" w:rsidRPr="00E3754A" w:rsidRDefault="0091597F" w:rsidP="002A68C5">
      <w:pPr>
        <w:rPr>
          <w:lang w:val="en-AU"/>
        </w:rPr>
      </w:pPr>
      <w:r w:rsidRPr="00E3754A">
        <w:rPr>
          <w:lang w:val="en-AU"/>
        </w:rPr>
        <w:t>When these</w:t>
      </w:r>
      <w:r w:rsidR="002A68C5" w:rsidRPr="00E3754A">
        <w:rPr>
          <w:lang w:val="en-AU"/>
        </w:rPr>
        <w:t xml:space="preserve"> perceptions are not addressed, there is potential for the lack of willingness to participate in the implementation of supported decision-making initiatives and instead continue exercising paternalistic measures (Lang et al., 2011</w:t>
      </w:r>
      <w:r w:rsidRPr="00E3754A">
        <w:rPr>
          <w:lang w:val="en-AU"/>
        </w:rPr>
        <w:t>; Watson, 2016a; Werner, 2012</w:t>
      </w:r>
      <w:r w:rsidR="002A68C5" w:rsidRPr="00E3754A">
        <w:rPr>
          <w:lang w:val="en-AU"/>
        </w:rPr>
        <w:t xml:space="preserve">). </w:t>
      </w:r>
      <w:r w:rsidR="004821B6" w:rsidRPr="00E3754A">
        <w:rPr>
          <w:lang w:val="en-AU"/>
        </w:rPr>
        <w:t>It is signalled that the p</w:t>
      </w:r>
      <w:r w:rsidR="002A68C5" w:rsidRPr="00E3754A">
        <w:rPr>
          <w:lang w:val="en-AU"/>
        </w:rPr>
        <w:t xml:space="preserve">erceptions of the </w:t>
      </w:r>
      <w:r w:rsidR="002C5EA2" w:rsidRPr="00E3754A">
        <w:rPr>
          <w:lang w:val="en-AU"/>
        </w:rPr>
        <w:t>disabled person</w:t>
      </w:r>
      <w:r w:rsidR="002A68C5" w:rsidRPr="00E3754A">
        <w:rPr>
          <w:lang w:val="en-AU"/>
        </w:rPr>
        <w:t xml:space="preserve"> themselves are important too; it is</w:t>
      </w:r>
      <w:r w:rsidR="00501516" w:rsidRPr="00E3754A">
        <w:rPr>
          <w:lang w:val="en-AU"/>
        </w:rPr>
        <w:t xml:space="preserve"> important that the person feel</w:t>
      </w:r>
      <w:r w:rsidR="002A68C5" w:rsidRPr="00E3754A">
        <w:rPr>
          <w:lang w:val="en-AU"/>
        </w:rPr>
        <w:t>s supported and encouraged</w:t>
      </w:r>
      <w:r w:rsidR="004821B6" w:rsidRPr="00E3754A">
        <w:rPr>
          <w:lang w:val="en-AU"/>
        </w:rPr>
        <w:t xml:space="preserve"> and confident in decision-making</w:t>
      </w:r>
      <w:r w:rsidR="002A68C5" w:rsidRPr="00E3754A">
        <w:rPr>
          <w:lang w:val="en-AU"/>
        </w:rPr>
        <w:t xml:space="preserve"> (Pathare &amp; Shields, 2012; Tracy, </w:t>
      </w:r>
      <w:r w:rsidR="00501516" w:rsidRPr="00E3754A">
        <w:rPr>
          <w:lang w:val="en-AU"/>
        </w:rPr>
        <w:t>2015</w:t>
      </w:r>
      <w:r w:rsidR="002A68C5" w:rsidRPr="00E3754A">
        <w:rPr>
          <w:lang w:val="en-AU"/>
        </w:rPr>
        <w:t>).</w:t>
      </w:r>
    </w:p>
    <w:tbl>
      <w:tblPr>
        <w:tblStyle w:val="Style1"/>
        <w:tblW w:w="5000" w:type="pct"/>
        <w:tblLook w:val="04A0" w:firstRow="1" w:lastRow="0" w:firstColumn="1" w:lastColumn="0" w:noHBand="0" w:noVBand="1"/>
      </w:tblPr>
      <w:tblGrid>
        <w:gridCol w:w="9236"/>
      </w:tblGrid>
      <w:tr w:rsidR="002A68C5" w:rsidRPr="00E3754A" w14:paraId="7D087B75" w14:textId="77777777" w:rsidTr="00ED1A9D">
        <w:tc>
          <w:tcPr>
            <w:tcW w:w="5000" w:type="pct"/>
          </w:tcPr>
          <w:p w14:paraId="740849EA" w14:textId="06B38001" w:rsidR="002A68C5" w:rsidRPr="00E3754A" w:rsidRDefault="002A68C5" w:rsidP="00695ADB">
            <w:pPr>
              <w:rPr>
                <w:lang w:val="en-AU"/>
              </w:rPr>
            </w:pPr>
            <w:r w:rsidRPr="00E3754A">
              <w:rPr>
                <w:lang w:val="en-AU"/>
              </w:rPr>
              <w:t xml:space="preserve">In its support initiative, </w:t>
            </w:r>
            <w:r w:rsidRPr="00E3754A">
              <w:rPr>
                <w:rStyle w:val="Emphasis"/>
                <w:lang w:val="en-AU"/>
              </w:rPr>
              <w:t>Scotland</w:t>
            </w:r>
            <w:r w:rsidRPr="00E3754A">
              <w:rPr>
                <w:lang w:val="en-AU"/>
              </w:rPr>
              <w:t xml:space="preserve"> promote</w:t>
            </w:r>
            <w:r w:rsidR="00462C49" w:rsidRPr="00E3754A">
              <w:rPr>
                <w:lang w:val="en-AU"/>
              </w:rPr>
              <w:t>s</w:t>
            </w:r>
            <w:r w:rsidRPr="00E3754A">
              <w:rPr>
                <w:lang w:val="en-AU"/>
              </w:rPr>
              <w:t xml:space="preserve"> the idea that </w:t>
            </w:r>
            <w:r w:rsidR="002C5EA2" w:rsidRPr="00E3754A">
              <w:rPr>
                <w:lang w:val="en-AU"/>
              </w:rPr>
              <w:t>disabled person</w:t>
            </w:r>
            <w:r w:rsidRPr="00E3754A">
              <w:rPr>
                <w:lang w:val="en-AU"/>
              </w:rPr>
              <w:t>s are not an ‘other’ but</w:t>
            </w:r>
            <w:r w:rsidR="00286FC1" w:rsidRPr="00E3754A">
              <w:rPr>
                <w:lang w:val="en-AU"/>
              </w:rPr>
              <w:t xml:space="preserve"> are</w:t>
            </w:r>
            <w:r w:rsidRPr="00E3754A">
              <w:rPr>
                <w:lang w:val="en-AU"/>
              </w:rPr>
              <w:t xml:space="preserve"> just like everyone else (Scotland et al., 2013). Scotland recognises decision-making as being relational and common practice in all persons</w:t>
            </w:r>
            <w:r w:rsidR="00695ADB">
              <w:rPr>
                <w:lang w:val="en-AU"/>
              </w:rPr>
              <w:t>’</w:t>
            </w:r>
            <w:r w:rsidRPr="00E3754A">
              <w:rPr>
                <w:lang w:val="en-AU"/>
              </w:rPr>
              <w:t xml:space="preserve"> lives, thus normalising the idea of support for decision-making. There is little information on how initiatives promote these ideas in the practice and training of supported decision-making.</w:t>
            </w:r>
          </w:p>
        </w:tc>
      </w:tr>
    </w:tbl>
    <w:p w14:paraId="7F7FF397" w14:textId="155B907E" w:rsidR="00B95E47" w:rsidRPr="00E3754A" w:rsidRDefault="00177FAC" w:rsidP="0014037A">
      <w:pPr>
        <w:pStyle w:val="Heading4"/>
        <w:rPr>
          <w:lang w:val="en-AU"/>
        </w:rPr>
      </w:pPr>
      <w:r w:rsidRPr="00E3754A">
        <w:rPr>
          <w:lang w:val="en-AU"/>
        </w:rPr>
        <w:t>Unresponsiveness, resources</w:t>
      </w:r>
      <w:r w:rsidR="00153CE3">
        <w:rPr>
          <w:lang w:val="en-AU"/>
        </w:rPr>
        <w:t>,</w:t>
      </w:r>
      <w:r w:rsidRPr="00E3754A">
        <w:rPr>
          <w:lang w:val="en-AU"/>
        </w:rPr>
        <w:t xml:space="preserve"> and</w:t>
      </w:r>
      <w:r w:rsidR="0014037A" w:rsidRPr="00E3754A">
        <w:rPr>
          <w:lang w:val="en-AU"/>
        </w:rPr>
        <w:t xml:space="preserve"> support</w:t>
      </w:r>
    </w:p>
    <w:p w14:paraId="06D4BC60" w14:textId="2F425B1D" w:rsidR="00F96962" w:rsidRPr="00E3754A" w:rsidRDefault="0041540A" w:rsidP="00F96962">
      <w:pPr>
        <w:pStyle w:val="NoSpacing"/>
        <w:rPr>
          <w:lang w:val="en-AU"/>
        </w:rPr>
      </w:pPr>
      <w:r w:rsidRPr="00E3754A">
        <w:rPr>
          <w:lang w:val="en-AU"/>
        </w:rPr>
        <w:t xml:space="preserve">Allowing </w:t>
      </w:r>
      <w:r w:rsidR="00286FC1" w:rsidRPr="00E3754A">
        <w:rPr>
          <w:lang w:val="en-AU"/>
        </w:rPr>
        <w:t xml:space="preserve">time </w:t>
      </w:r>
      <w:r w:rsidRPr="00E3754A">
        <w:rPr>
          <w:lang w:val="en-AU"/>
        </w:rPr>
        <w:t xml:space="preserve">for decision-making and communication was frequently mentioned as an important part of how </w:t>
      </w:r>
      <w:r w:rsidR="00286FC1" w:rsidRPr="00E3754A">
        <w:rPr>
          <w:lang w:val="en-AU"/>
        </w:rPr>
        <w:t>third parties</w:t>
      </w:r>
      <w:r w:rsidRPr="00E3754A">
        <w:rPr>
          <w:lang w:val="en-AU"/>
        </w:rPr>
        <w:t xml:space="preserve"> can contribute to supported decision-making (</w:t>
      </w:r>
      <w:r w:rsidR="00C60DDF" w:rsidRPr="00E3754A">
        <w:rPr>
          <w:lang w:val="en-AU"/>
        </w:rPr>
        <w:t>Carney &amp; Beaupert, 2013</w:t>
      </w:r>
      <w:r w:rsidR="00C70F6B" w:rsidRPr="00E3754A">
        <w:rPr>
          <w:lang w:val="en-AU"/>
        </w:rPr>
        <w:t xml:space="preserve">; </w:t>
      </w:r>
      <w:r w:rsidR="00C60DDF" w:rsidRPr="00E3754A">
        <w:rPr>
          <w:lang w:val="en-AU"/>
        </w:rPr>
        <w:t>Carney, 2013</w:t>
      </w:r>
      <w:r w:rsidRPr="00E3754A">
        <w:rPr>
          <w:lang w:val="en-AU"/>
        </w:rPr>
        <w:t>; Keeling, 2016; Smaill, 2016; Tracy, 2015; Watson, 2016</w:t>
      </w:r>
      <w:r w:rsidR="00DF410D" w:rsidRPr="00E3754A">
        <w:rPr>
          <w:lang w:val="en-AU"/>
        </w:rPr>
        <w:t>a</w:t>
      </w:r>
      <w:r w:rsidRPr="00E3754A">
        <w:rPr>
          <w:lang w:val="en-AU"/>
        </w:rPr>
        <w:t xml:space="preserve">). </w:t>
      </w:r>
      <w:r w:rsidR="00286FC1" w:rsidRPr="00E3754A">
        <w:rPr>
          <w:lang w:val="en-AU"/>
        </w:rPr>
        <w:t>However, a</w:t>
      </w:r>
      <w:r w:rsidR="008B0641" w:rsidRPr="00E3754A">
        <w:rPr>
          <w:lang w:val="en-AU"/>
        </w:rPr>
        <w:t xml:space="preserve">s noted by Watson (2016a), those who provide direct support may find the resources required to provide substantial support too demanding for the skill and time they have available. </w:t>
      </w:r>
      <w:r w:rsidRPr="00E3754A">
        <w:rPr>
          <w:lang w:val="en-AU"/>
        </w:rPr>
        <w:t>It is implied that, due to resource, situational and/or time constraints, the most effective means of support may have to be compromised for a more practical and workable option based on supporters’ abilities to commit (as mentioned in Tracy, 2015 and implied in Watson, 2016</w:t>
      </w:r>
      <w:r w:rsidR="00DF410D" w:rsidRPr="00E3754A">
        <w:rPr>
          <w:lang w:val="en-AU"/>
        </w:rPr>
        <w:t>a</w:t>
      </w:r>
      <w:r w:rsidRPr="00E3754A">
        <w:rPr>
          <w:lang w:val="en-AU"/>
        </w:rPr>
        <w:t xml:space="preserve">). </w:t>
      </w:r>
    </w:p>
    <w:p w14:paraId="589DB772" w14:textId="7A56D9D2" w:rsidR="0041540A" w:rsidRPr="00E3754A" w:rsidRDefault="00F96962" w:rsidP="0041540A">
      <w:pPr>
        <w:pStyle w:val="NoSpacing"/>
        <w:rPr>
          <w:lang w:val="en-AU"/>
        </w:rPr>
      </w:pPr>
      <w:r w:rsidRPr="00E3754A">
        <w:rPr>
          <w:lang w:val="en-AU"/>
        </w:rPr>
        <w:t>Generally, it is signalled that individuals who deal with disabled people in formal settings need greater skill in communicating with disabled persons, developing a sense of trust, and in responding to the needs of disabled persons (Pathare &amp; Shields, 2012)</w:t>
      </w:r>
      <w:r w:rsidR="00695ADB">
        <w:rPr>
          <w:lang w:val="en-AU"/>
        </w:rPr>
        <w:t>. H</w:t>
      </w:r>
      <w:r w:rsidRPr="00E3754A">
        <w:rPr>
          <w:lang w:val="en-AU"/>
        </w:rPr>
        <w:t>owever, place and time can compromise professionals</w:t>
      </w:r>
      <w:r w:rsidR="00695ADB">
        <w:rPr>
          <w:lang w:val="en-AU"/>
        </w:rPr>
        <w:t>’</w:t>
      </w:r>
      <w:r w:rsidRPr="00E3754A">
        <w:rPr>
          <w:lang w:val="en-AU"/>
        </w:rPr>
        <w:t xml:space="preserve"> abilities to use these skills (Pathare &amp; Shields, 2012; </w:t>
      </w:r>
      <w:r w:rsidR="00947621" w:rsidRPr="00E3754A">
        <w:rPr>
          <w:lang w:val="en-AU"/>
        </w:rPr>
        <w:t xml:space="preserve">also see </w:t>
      </w:r>
      <w:r w:rsidRPr="00E3754A">
        <w:rPr>
          <w:lang w:val="en-AU"/>
        </w:rPr>
        <w:t>Tracy, 2015)</w:t>
      </w:r>
      <w:r w:rsidR="00947621" w:rsidRPr="00E3754A">
        <w:rPr>
          <w:lang w:val="en-AU"/>
        </w:rPr>
        <w:t>, as is discussed in the later section on support for supporters.</w:t>
      </w:r>
    </w:p>
    <w:tbl>
      <w:tblPr>
        <w:tblStyle w:val="Style1"/>
        <w:tblW w:w="5000" w:type="pct"/>
        <w:tblLook w:val="04A0" w:firstRow="1" w:lastRow="0" w:firstColumn="1" w:lastColumn="0" w:noHBand="0" w:noVBand="1"/>
      </w:tblPr>
      <w:tblGrid>
        <w:gridCol w:w="9236"/>
      </w:tblGrid>
      <w:tr w:rsidR="0041540A" w:rsidRPr="00E3754A" w14:paraId="731554A5" w14:textId="77777777" w:rsidTr="00ED1A9D">
        <w:tc>
          <w:tcPr>
            <w:tcW w:w="5000" w:type="pct"/>
          </w:tcPr>
          <w:p w14:paraId="3593684E" w14:textId="51751781" w:rsidR="0041540A" w:rsidRPr="00E3754A" w:rsidRDefault="0041540A" w:rsidP="007065C1">
            <w:pPr>
              <w:pStyle w:val="NoSpacing"/>
              <w:rPr>
                <w:lang w:val="en-AU"/>
              </w:rPr>
            </w:pPr>
            <w:r w:rsidRPr="00E3754A">
              <w:rPr>
                <w:lang w:val="en-AU"/>
              </w:rPr>
              <w:t xml:space="preserve">In </w:t>
            </w:r>
            <w:r w:rsidRPr="00E3754A">
              <w:rPr>
                <w:rStyle w:val="Emphasis"/>
                <w:lang w:val="en-AU"/>
              </w:rPr>
              <w:t>Scotland</w:t>
            </w:r>
            <w:r w:rsidRPr="00E3754A">
              <w:rPr>
                <w:lang w:val="en-AU"/>
              </w:rPr>
              <w:t>, an independent advocate serves both</w:t>
            </w:r>
            <w:r w:rsidR="007065C1" w:rsidRPr="00E3754A">
              <w:rPr>
                <w:lang w:val="en-AU"/>
              </w:rPr>
              <w:t xml:space="preserve"> as</w:t>
            </w:r>
            <w:r w:rsidRPr="00E3754A">
              <w:rPr>
                <w:lang w:val="en-AU"/>
              </w:rPr>
              <w:t xml:space="preserve"> a supporter </w:t>
            </w:r>
            <w:r w:rsidR="007065C1" w:rsidRPr="00E3754A">
              <w:rPr>
                <w:lang w:val="en-AU"/>
              </w:rPr>
              <w:t xml:space="preserve">who commits their time and resources to the disabled person </w:t>
            </w:r>
            <w:r w:rsidRPr="00E3754A">
              <w:rPr>
                <w:lang w:val="en-AU"/>
              </w:rPr>
              <w:t xml:space="preserve">and </w:t>
            </w:r>
            <w:r w:rsidR="007065C1" w:rsidRPr="00E3754A">
              <w:rPr>
                <w:lang w:val="en-AU"/>
              </w:rPr>
              <w:t xml:space="preserve">as </w:t>
            </w:r>
            <w:r w:rsidRPr="00E3754A">
              <w:rPr>
                <w:lang w:val="en-AU"/>
              </w:rPr>
              <w:t xml:space="preserve">a safeguard; advocates are purposed to ensure </w:t>
            </w:r>
            <w:r w:rsidR="002C5EA2" w:rsidRPr="00E3754A">
              <w:rPr>
                <w:lang w:val="en-AU"/>
              </w:rPr>
              <w:t>disabled person</w:t>
            </w:r>
            <w:r w:rsidRPr="00E3754A">
              <w:rPr>
                <w:lang w:val="en-AU"/>
              </w:rPr>
              <w:t>s are being heard by others and are not being excluded from participating in decision-making processes (Scotland et al., 2013).</w:t>
            </w:r>
            <w:r w:rsidR="007065C1" w:rsidRPr="00E3754A">
              <w:rPr>
                <w:lang w:val="en-AU"/>
              </w:rPr>
              <w:t xml:space="preserve"> </w:t>
            </w:r>
          </w:p>
        </w:tc>
      </w:tr>
    </w:tbl>
    <w:p w14:paraId="74BDEA30" w14:textId="3ADD2B51" w:rsidR="003860A9" w:rsidRPr="00E3754A" w:rsidRDefault="00177FAC" w:rsidP="003860A9">
      <w:pPr>
        <w:pStyle w:val="Heading4"/>
        <w:rPr>
          <w:lang w:val="en-AU"/>
        </w:rPr>
      </w:pPr>
      <w:r w:rsidRPr="00E3754A">
        <w:rPr>
          <w:lang w:val="en-AU"/>
        </w:rPr>
        <w:t>Obtaining will and</w:t>
      </w:r>
      <w:r w:rsidR="003860A9" w:rsidRPr="00E3754A">
        <w:rPr>
          <w:lang w:val="en-AU"/>
        </w:rPr>
        <w:t xml:space="preserve"> preference</w:t>
      </w:r>
    </w:p>
    <w:p w14:paraId="58D78AB3" w14:textId="09E83B4A" w:rsidR="00537FBD" w:rsidRPr="00E3754A" w:rsidRDefault="003447F2" w:rsidP="00537FBD">
      <w:pPr>
        <w:pStyle w:val="NoSpacing"/>
        <w:rPr>
          <w:lang w:val="en-AU"/>
        </w:rPr>
      </w:pPr>
      <w:r w:rsidRPr="00E3754A">
        <w:rPr>
          <w:lang w:val="en-AU"/>
        </w:rPr>
        <w:t>As noted earlier, i</w:t>
      </w:r>
      <w:r w:rsidR="00537FBD" w:rsidRPr="00E3754A">
        <w:rPr>
          <w:lang w:val="en-AU"/>
        </w:rPr>
        <w:t xml:space="preserve">nterpreting </w:t>
      </w:r>
      <w:r w:rsidR="002C5EA2" w:rsidRPr="00E3754A">
        <w:rPr>
          <w:lang w:val="en-AU"/>
        </w:rPr>
        <w:t>disabled person</w:t>
      </w:r>
      <w:r w:rsidR="00537FBD" w:rsidRPr="00E3754A">
        <w:rPr>
          <w:lang w:val="en-AU"/>
        </w:rPr>
        <w:t>s and obtaining their will and preferences can be a very complex process (Watson, 2016</w:t>
      </w:r>
      <w:r w:rsidR="002C5EA2" w:rsidRPr="00E3754A">
        <w:rPr>
          <w:lang w:val="en-AU"/>
        </w:rPr>
        <w:t>a</w:t>
      </w:r>
      <w:r w:rsidR="00537FBD" w:rsidRPr="00E3754A">
        <w:rPr>
          <w:lang w:val="en-AU"/>
        </w:rPr>
        <w:t>). In supported decision-making processes, including facilitated decision-making, a person’s expressions of agency and will and preferences can be misinterpreted (Series, 2015). First of all, expressions of preference can go unnoticed, for example they may be misinterpreted as meaningless expression</w:t>
      </w:r>
      <w:r w:rsidR="000E3DDA" w:rsidRPr="00E3754A">
        <w:rPr>
          <w:lang w:val="en-AU"/>
        </w:rPr>
        <w:t>s</w:t>
      </w:r>
      <w:r w:rsidR="00537FBD" w:rsidRPr="00E3754A">
        <w:rPr>
          <w:lang w:val="en-AU"/>
        </w:rPr>
        <w:t xml:space="preserve"> rather than meaningful expression</w:t>
      </w:r>
      <w:r w:rsidR="000E3DDA" w:rsidRPr="00E3754A">
        <w:rPr>
          <w:lang w:val="en-AU"/>
        </w:rPr>
        <w:t>s</w:t>
      </w:r>
      <w:r w:rsidR="00537FBD" w:rsidRPr="00E3754A">
        <w:rPr>
          <w:lang w:val="en-AU"/>
        </w:rPr>
        <w:t xml:space="preserve"> (Watson, 2016a). Secondly, there is the process of interpreting those expressions and then, thirdly, interpreting as to how the </w:t>
      </w:r>
      <w:r w:rsidR="002C5EA2" w:rsidRPr="00E3754A">
        <w:rPr>
          <w:lang w:val="en-AU"/>
        </w:rPr>
        <w:t>disabled person</w:t>
      </w:r>
      <w:r w:rsidR="00537FBD" w:rsidRPr="00E3754A">
        <w:rPr>
          <w:lang w:val="en-AU"/>
        </w:rPr>
        <w:t xml:space="preserve">’s agency can be executed in practice (Watson, 2016a). </w:t>
      </w:r>
      <w:r w:rsidR="000E3DDA" w:rsidRPr="00E3754A">
        <w:rPr>
          <w:lang w:val="en-AU"/>
        </w:rPr>
        <w:t>T</w:t>
      </w:r>
      <w:r w:rsidR="00537FBD" w:rsidRPr="00E3754A">
        <w:rPr>
          <w:lang w:val="en-AU"/>
        </w:rPr>
        <w:t>he process is extremely subjective an</w:t>
      </w:r>
      <w:r w:rsidR="00905488" w:rsidRPr="00E3754A">
        <w:rPr>
          <w:lang w:val="en-AU"/>
        </w:rPr>
        <w:t xml:space="preserve">d </w:t>
      </w:r>
      <w:r w:rsidR="007477F4" w:rsidRPr="00E3754A">
        <w:rPr>
          <w:lang w:val="en-AU"/>
        </w:rPr>
        <w:t>can require</w:t>
      </w:r>
      <w:r w:rsidR="00905488" w:rsidRPr="00E3754A">
        <w:rPr>
          <w:lang w:val="en-AU"/>
        </w:rPr>
        <w:t xml:space="preserve"> a lot of intuition to understand</w:t>
      </w:r>
      <w:r w:rsidR="00537FBD" w:rsidRPr="00E3754A">
        <w:rPr>
          <w:lang w:val="en-AU"/>
        </w:rPr>
        <w:t xml:space="preserve"> the </w:t>
      </w:r>
      <w:r w:rsidR="002C5EA2" w:rsidRPr="00E3754A">
        <w:rPr>
          <w:lang w:val="en-AU"/>
        </w:rPr>
        <w:t>disabled person</w:t>
      </w:r>
      <w:r w:rsidR="00537FBD" w:rsidRPr="00E3754A">
        <w:rPr>
          <w:lang w:val="en-AU"/>
        </w:rPr>
        <w:t xml:space="preserve">. Evidence suggests that paid supporters can be better at </w:t>
      </w:r>
      <w:r w:rsidR="00235046" w:rsidRPr="00E3754A">
        <w:rPr>
          <w:lang w:val="en-AU"/>
        </w:rPr>
        <w:t xml:space="preserve">distinguishing </w:t>
      </w:r>
      <w:r w:rsidR="00537FBD" w:rsidRPr="00E3754A">
        <w:rPr>
          <w:lang w:val="en-AU"/>
        </w:rPr>
        <w:t>between different expres</w:t>
      </w:r>
      <w:r w:rsidR="007477F4" w:rsidRPr="00E3754A">
        <w:rPr>
          <w:lang w:val="en-AU"/>
        </w:rPr>
        <w:t xml:space="preserve">sions of agency (Watson, 2016a). </w:t>
      </w:r>
      <w:r w:rsidR="00537FBD" w:rsidRPr="00E3754A">
        <w:rPr>
          <w:lang w:val="en-AU"/>
        </w:rPr>
        <w:t xml:space="preserve">As Watson (2016a) notes, </w:t>
      </w:r>
      <w:r w:rsidR="000E3DDA" w:rsidRPr="00E3754A">
        <w:rPr>
          <w:lang w:val="en-AU"/>
        </w:rPr>
        <w:t xml:space="preserve">the issues in obtaining will and preference can be more of a obstacle for </w:t>
      </w:r>
      <w:r w:rsidR="001E3261" w:rsidRPr="00E3754A">
        <w:rPr>
          <w:lang w:val="en-AU"/>
        </w:rPr>
        <w:t>people</w:t>
      </w:r>
      <w:r w:rsidR="00537FBD" w:rsidRPr="00E3754A">
        <w:rPr>
          <w:lang w:val="en-AU"/>
        </w:rPr>
        <w:t xml:space="preserve"> with severe and profound disability</w:t>
      </w:r>
      <w:r w:rsidR="000E3DDA" w:rsidRPr="00E3754A">
        <w:rPr>
          <w:lang w:val="en-AU"/>
        </w:rPr>
        <w:t xml:space="preserve"> because</w:t>
      </w:r>
      <w:r w:rsidR="00537FBD" w:rsidRPr="00E3754A">
        <w:rPr>
          <w:lang w:val="en-AU"/>
        </w:rPr>
        <w:t xml:space="preserve"> are not able to contradict a wrong interpretation of their will and preference.</w:t>
      </w:r>
    </w:p>
    <w:p w14:paraId="37114BBB" w14:textId="70EF483E" w:rsidR="00537FBD" w:rsidRPr="00E3754A" w:rsidRDefault="00537FBD" w:rsidP="00537FBD">
      <w:pPr>
        <w:pStyle w:val="NoSpacing"/>
        <w:rPr>
          <w:lang w:val="en-AU"/>
        </w:rPr>
      </w:pPr>
      <w:r w:rsidRPr="00E3754A">
        <w:rPr>
          <w:lang w:val="en-AU"/>
        </w:rPr>
        <w:t xml:space="preserve">As is argued by Gooding (2015), </w:t>
      </w:r>
      <w:r w:rsidR="002C5EA2" w:rsidRPr="00E3754A">
        <w:rPr>
          <w:lang w:val="en-AU"/>
        </w:rPr>
        <w:t>disabled person</w:t>
      </w:r>
      <w:r w:rsidRPr="00E3754A">
        <w:rPr>
          <w:lang w:val="en-AU"/>
        </w:rPr>
        <w:t xml:space="preserve">s can </w:t>
      </w:r>
      <w:r w:rsidR="009E1034" w:rsidRPr="00E3754A">
        <w:rPr>
          <w:lang w:val="en-AU"/>
        </w:rPr>
        <w:t>be limited in</w:t>
      </w:r>
      <w:r w:rsidRPr="00E3754A">
        <w:rPr>
          <w:lang w:val="en-AU"/>
        </w:rPr>
        <w:t xml:space="preserve"> their participation in decision-making which are ‘natural’ or socially engineered in nature. He argues that this distinction is important because it recognises that </w:t>
      </w:r>
      <w:r w:rsidR="002C5EA2" w:rsidRPr="00E3754A">
        <w:rPr>
          <w:lang w:val="en-AU"/>
        </w:rPr>
        <w:t>disabled person</w:t>
      </w:r>
      <w:r w:rsidRPr="00E3754A">
        <w:rPr>
          <w:lang w:val="en-AU"/>
        </w:rPr>
        <w:t>s</w:t>
      </w:r>
      <w:r w:rsidR="00695ADB">
        <w:rPr>
          <w:lang w:val="en-AU"/>
        </w:rPr>
        <w:t>’</w:t>
      </w:r>
      <w:r w:rsidRPr="00E3754A">
        <w:rPr>
          <w:lang w:val="en-AU"/>
        </w:rPr>
        <w:t xml:space="preserve"> opportunities to participate in decision-making can be compromised by low expectations</w:t>
      </w:r>
      <w:r w:rsidR="00FC324D" w:rsidRPr="00E3754A">
        <w:rPr>
          <w:lang w:val="en-AU"/>
        </w:rPr>
        <w:t xml:space="preserve"> (previous section)</w:t>
      </w:r>
      <w:r w:rsidRPr="00E3754A">
        <w:rPr>
          <w:lang w:val="en-AU"/>
        </w:rPr>
        <w:t xml:space="preserve"> or a lack of accommodation in systems</w:t>
      </w:r>
      <w:r w:rsidR="00FC324D" w:rsidRPr="00E3754A">
        <w:rPr>
          <w:lang w:val="en-AU"/>
        </w:rPr>
        <w:t xml:space="preserve"> (next section)</w:t>
      </w:r>
      <w:r w:rsidRPr="00E3754A">
        <w:rPr>
          <w:lang w:val="en-AU"/>
        </w:rPr>
        <w:t xml:space="preserve"> or by people</w:t>
      </w:r>
      <w:r w:rsidR="00FC324D" w:rsidRPr="00E3754A">
        <w:rPr>
          <w:lang w:val="en-AU"/>
        </w:rPr>
        <w:t xml:space="preserve"> (this section)</w:t>
      </w:r>
      <w:r w:rsidRPr="00E3754A">
        <w:rPr>
          <w:lang w:val="en-AU"/>
        </w:rPr>
        <w:t xml:space="preserve">. </w:t>
      </w:r>
      <w:r w:rsidR="002F6DAF" w:rsidRPr="00E3754A">
        <w:rPr>
          <w:lang w:val="en-AU"/>
        </w:rPr>
        <w:t>In taking a more inclusive view of capacity, it is possible to involve people in decision-making who</w:t>
      </w:r>
      <w:r w:rsidRPr="00E3754A">
        <w:rPr>
          <w:lang w:val="en-AU"/>
        </w:rPr>
        <w:t xml:space="preserve"> woul</w:t>
      </w:r>
      <w:r w:rsidR="002F6DAF" w:rsidRPr="00E3754A">
        <w:rPr>
          <w:lang w:val="en-AU"/>
        </w:rPr>
        <w:t>d traditionally be considered to be</w:t>
      </w:r>
      <w:r w:rsidRPr="00E3754A">
        <w:rPr>
          <w:lang w:val="en-AU"/>
        </w:rPr>
        <w:t xml:space="preserve"> unable to </w:t>
      </w:r>
      <w:r w:rsidR="002F6DAF" w:rsidRPr="00E3754A">
        <w:rPr>
          <w:lang w:val="en-AU"/>
        </w:rPr>
        <w:t>communicate</w:t>
      </w:r>
      <w:r w:rsidR="000E3DDA" w:rsidRPr="00E3754A">
        <w:rPr>
          <w:lang w:val="en-AU"/>
        </w:rPr>
        <w:t xml:space="preserve"> and therefore </w:t>
      </w:r>
      <w:r w:rsidR="009E1034" w:rsidRPr="00E3754A">
        <w:rPr>
          <w:lang w:val="en-AU"/>
        </w:rPr>
        <w:t xml:space="preserve">to </w:t>
      </w:r>
      <w:r w:rsidR="000E3DDA" w:rsidRPr="00E3754A">
        <w:rPr>
          <w:lang w:val="en-AU"/>
        </w:rPr>
        <w:t>make decisions</w:t>
      </w:r>
      <w:r w:rsidR="002F6DAF" w:rsidRPr="00E3754A">
        <w:rPr>
          <w:lang w:val="en-AU"/>
        </w:rPr>
        <w:t xml:space="preserve">, such as </w:t>
      </w:r>
      <w:r w:rsidR="009E1034" w:rsidRPr="00E3754A">
        <w:rPr>
          <w:lang w:val="en-AU"/>
        </w:rPr>
        <w:t xml:space="preserve">people </w:t>
      </w:r>
      <w:r w:rsidR="002F6DAF" w:rsidRPr="00E3754A">
        <w:rPr>
          <w:lang w:val="en-AU"/>
        </w:rPr>
        <w:t xml:space="preserve">who are minimally conscious or those who have significant cognitive impairment </w:t>
      </w:r>
      <w:r w:rsidRPr="00E3754A">
        <w:rPr>
          <w:lang w:val="en-AU"/>
        </w:rPr>
        <w:t>(Gooding, 2015).</w:t>
      </w:r>
    </w:p>
    <w:p w14:paraId="4975679F" w14:textId="7C87E8A2" w:rsidR="003860A9" w:rsidRPr="00E3754A" w:rsidRDefault="003860A9" w:rsidP="003860A9">
      <w:pPr>
        <w:pStyle w:val="Heading4"/>
        <w:rPr>
          <w:lang w:val="en-AU"/>
        </w:rPr>
      </w:pPr>
      <w:r w:rsidRPr="00E3754A">
        <w:rPr>
          <w:lang w:val="en-AU"/>
        </w:rPr>
        <w:t xml:space="preserve">System </w:t>
      </w:r>
      <w:r w:rsidR="00905488" w:rsidRPr="00E3754A">
        <w:rPr>
          <w:lang w:val="en-AU"/>
        </w:rPr>
        <w:t>and</w:t>
      </w:r>
      <w:r w:rsidRPr="00E3754A">
        <w:rPr>
          <w:lang w:val="en-AU"/>
        </w:rPr>
        <w:t xml:space="preserve"> service issues</w:t>
      </w:r>
    </w:p>
    <w:p w14:paraId="2B33CD9E" w14:textId="0698B059" w:rsidR="00BE2C9E" w:rsidRPr="00E3754A" w:rsidRDefault="005F6EFA" w:rsidP="00BE2C9E">
      <w:pPr>
        <w:pStyle w:val="NoSpacing"/>
        <w:rPr>
          <w:lang w:val="en-AU"/>
        </w:rPr>
      </w:pPr>
      <w:r w:rsidRPr="00E3754A">
        <w:rPr>
          <w:lang w:val="en-AU"/>
        </w:rPr>
        <w:t>A study in Victoria, Australia with support and advocacy volunteers found that there were challenges when it came to interacting and collaborating with service providers (Burgin, 2016). The issues included: the dismissal</w:t>
      </w:r>
      <w:r w:rsidR="00E1114A" w:rsidRPr="00E3754A">
        <w:rPr>
          <w:lang w:val="en-AU"/>
        </w:rPr>
        <w:t>s</w:t>
      </w:r>
      <w:r w:rsidRPr="00E3754A">
        <w:rPr>
          <w:lang w:val="en-AU"/>
        </w:rPr>
        <w:t xml:space="preserve"> </w:t>
      </w:r>
      <w:r w:rsidR="00E1114A" w:rsidRPr="00E3754A">
        <w:rPr>
          <w:lang w:val="en-AU"/>
        </w:rPr>
        <w:t>(</w:t>
      </w:r>
      <w:r w:rsidRPr="00E3754A">
        <w:rPr>
          <w:lang w:val="en-AU"/>
        </w:rPr>
        <w:t>by staff and other professionals</w:t>
      </w:r>
      <w:r w:rsidR="00E1114A" w:rsidRPr="00E3754A">
        <w:rPr>
          <w:lang w:val="en-AU"/>
        </w:rPr>
        <w:t>)</w:t>
      </w:r>
      <w:r w:rsidRPr="00E3754A">
        <w:rPr>
          <w:lang w:val="en-AU"/>
        </w:rPr>
        <w:t xml:space="preserve"> of complaints </w:t>
      </w:r>
      <w:r w:rsidR="00E1114A" w:rsidRPr="00E3754A">
        <w:rPr>
          <w:lang w:val="en-AU"/>
        </w:rPr>
        <w:t xml:space="preserve">and recommendations </w:t>
      </w:r>
      <w:r w:rsidRPr="00E3754A">
        <w:rPr>
          <w:lang w:val="en-AU"/>
        </w:rPr>
        <w:t>about acco</w:t>
      </w:r>
      <w:r w:rsidR="00905488" w:rsidRPr="00E3754A">
        <w:rPr>
          <w:lang w:val="en-AU"/>
        </w:rPr>
        <w:t>m</w:t>
      </w:r>
      <w:r w:rsidRPr="00E3754A">
        <w:rPr>
          <w:lang w:val="en-AU"/>
        </w:rPr>
        <w:t xml:space="preserve">modating for </w:t>
      </w:r>
      <w:r w:rsidR="002C5EA2" w:rsidRPr="00E3754A">
        <w:rPr>
          <w:lang w:val="en-AU"/>
        </w:rPr>
        <w:t xml:space="preserve">disabled </w:t>
      </w:r>
      <w:r w:rsidR="00E1114A" w:rsidRPr="00E3754A">
        <w:rPr>
          <w:lang w:val="en-AU"/>
        </w:rPr>
        <w:t>people</w:t>
      </w:r>
      <w:r w:rsidRPr="00E3754A">
        <w:rPr>
          <w:lang w:val="en-AU"/>
        </w:rPr>
        <w:t xml:space="preserve">; the failure of staff and other professionals to follow through on responsibilities that were significant to the realisation of </w:t>
      </w:r>
      <w:r w:rsidR="002C5EA2" w:rsidRPr="00E3754A">
        <w:rPr>
          <w:lang w:val="en-AU"/>
        </w:rPr>
        <w:t xml:space="preserve">disabled </w:t>
      </w:r>
      <w:r w:rsidR="00F21013">
        <w:rPr>
          <w:lang w:val="en-AU"/>
        </w:rPr>
        <w:t>people</w:t>
      </w:r>
      <w:r w:rsidRPr="00E3754A">
        <w:rPr>
          <w:lang w:val="en-AU"/>
        </w:rPr>
        <w:t>s</w:t>
      </w:r>
      <w:r w:rsidR="00695ADB">
        <w:rPr>
          <w:lang w:val="en-AU"/>
        </w:rPr>
        <w:t>’</w:t>
      </w:r>
      <w:r w:rsidRPr="00E3754A">
        <w:rPr>
          <w:lang w:val="en-AU"/>
        </w:rPr>
        <w:t xml:space="preserve"> will and preferences; the lack of engagement by staf</w:t>
      </w:r>
      <w:r w:rsidR="006E1A0F" w:rsidRPr="00E3754A">
        <w:rPr>
          <w:lang w:val="en-AU"/>
        </w:rPr>
        <w:t>f and</w:t>
      </w:r>
      <w:r w:rsidRPr="00E3754A">
        <w:rPr>
          <w:lang w:val="en-AU"/>
        </w:rPr>
        <w:t xml:space="preserve"> other professionals in decision-making processes; staff obstructing the realisation of </w:t>
      </w:r>
      <w:r w:rsidR="002C5EA2" w:rsidRPr="00E3754A">
        <w:rPr>
          <w:lang w:val="en-AU"/>
        </w:rPr>
        <w:t xml:space="preserve">disabled </w:t>
      </w:r>
      <w:r w:rsidR="00F21013" w:rsidRPr="00E3754A">
        <w:rPr>
          <w:lang w:val="en-AU"/>
        </w:rPr>
        <w:t>p</w:t>
      </w:r>
      <w:r w:rsidR="00F21013">
        <w:rPr>
          <w:lang w:val="en-AU"/>
        </w:rPr>
        <w:t>eople</w:t>
      </w:r>
      <w:r w:rsidR="00F21013" w:rsidRPr="00E3754A">
        <w:rPr>
          <w:lang w:val="en-AU"/>
        </w:rPr>
        <w:t xml:space="preserve"> </w:t>
      </w:r>
      <w:r w:rsidR="00E1114A" w:rsidRPr="00E3754A">
        <w:rPr>
          <w:lang w:val="en-AU"/>
        </w:rPr>
        <w:t>in</w:t>
      </w:r>
      <w:r w:rsidRPr="00E3754A">
        <w:rPr>
          <w:lang w:val="en-AU"/>
        </w:rPr>
        <w:t xml:space="preserve"> disagree</w:t>
      </w:r>
      <w:r w:rsidR="00E1114A" w:rsidRPr="00E3754A">
        <w:rPr>
          <w:lang w:val="en-AU"/>
        </w:rPr>
        <w:t>ment</w:t>
      </w:r>
      <w:r w:rsidRPr="00E3754A">
        <w:rPr>
          <w:lang w:val="en-AU"/>
        </w:rPr>
        <w:t>; a lack of willingness to participate in things that were beyond the ‘routine’ (Burgen, 2016). Additionally, Beadle-Br</w:t>
      </w:r>
      <w:r w:rsidR="003E27F6" w:rsidRPr="00E3754A">
        <w:rPr>
          <w:lang w:val="en-AU"/>
        </w:rPr>
        <w:t xml:space="preserve">own (2015) notes how there is </w:t>
      </w:r>
      <w:r w:rsidRPr="00E3754A">
        <w:rPr>
          <w:lang w:val="en-AU"/>
        </w:rPr>
        <w:t xml:space="preserve">a cultural tendency to doubt </w:t>
      </w:r>
      <w:r w:rsidR="002C5EA2" w:rsidRPr="00E3754A">
        <w:rPr>
          <w:lang w:val="en-AU"/>
        </w:rPr>
        <w:t>disabled p</w:t>
      </w:r>
      <w:r w:rsidR="00F21013">
        <w:rPr>
          <w:lang w:val="en-AU"/>
        </w:rPr>
        <w:t>eoples</w:t>
      </w:r>
      <w:r w:rsidR="00695ADB">
        <w:rPr>
          <w:lang w:val="en-AU"/>
        </w:rPr>
        <w:t>’</w:t>
      </w:r>
      <w:r w:rsidRPr="00E3754A">
        <w:rPr>
          <w:lang w:val="en-AU"/>
        </w:rPr>
        <w:t xml:space="preserve"> abilities to make decisions and thus a tendency to no</w:t>
      </w:r>
      <w:r w:rsidR="003E27F6" w:rsidRPr="00E3754A">
        <w:rPr>
          <w:lang w:val="en-AU"/>
        </w:rPr>
        <w:t>t</w:t>
      </w:r>
      <w:r w:rsidRPr="00E3754A">
        <w:rPr>
          <w:lang w:val="en-AU"/>
        </w:rPr>
        <w:t xml:space="preserve"> provide support for </w:t>
      </w:r>
      <w:r w:rsidR="002C5EA2" w:rsidRPr="00E3754A">
        <w:rPr>
          <w:lang w:val="en-AU"/>
        </w:rPr>
        <w:t xml:space="preserve">disabled </w:t>
      </w:r>
      <w:r w:rsidR="00F21013">
        <w:rPr>
          <w:lang w:val="en-AU"/>
        </w:rPr>
        <w:t>people</w:t>
      </w:r>
      <w:r w:rsidRPr="00E3754A">
        <w:rPr>
          <w:lang w:val="en-AU"/>
        </w:rPr>
        <w:t>. Th</w:t>
      </w:r>
      <w:r w:rsidR="00E1114A" w:rsidRPr="00E3754A">
        <w:rPr>
          <w:lang w:val="en-AU"/>
        </w:rPr>
        <w:t>ese system and cultural issues within service provision</w:t>
      </w:r>
      <w:r w:rsidRPr="00E3754A">
        <w:rPr>
          <w:lang w:val="en-AU"/>
        </w:rPr>
        <w:t xml:space="preserve"> can be very difficult for a supporter or advocate to </w:t>
      </w:r>
      <w:r w:rsidR="009E1034" w:rsidRPr="00E3754A">
        <w:rPr>
          <w:lang w:val="en-AU"/>
        </w:rPr>
        <w:t xml:space="preserve">mitigate </w:t>
      </w:r>
      <w:r w:rsidRPr="00E3754A">
        <w:rPr>
          <w:lang w:val="en-AU"/>
        </w:rPr>
        <w:t xml:space="preserve">and highlights that the task of implementing good support can be a lot more complex than anticipated (Burgen, 2016). Additionally, </w:t>
      </w:r>
      <w:r w:rsidR="002C5EA2" w:rsidRPr="00E3754A">
        <w:rPr>
          <w:lang w:val="en-AU"/>
        </w:rPr>
        <w:t xml:space="preserve">disabled </w:t>
      </w:r>
      <w:r w:rsidR="005579E3">
        <w:rPr>
          <w:lang w:val="en-AU"/>
        </w:rPr>
        <w:t>people</w:t>
      </w:r>
      <w:r w:rsidR="005579E3" w:rsidRPr="00E3754A">
        <w:rPr>
          <w:lang w:val="en-AU"/>
        </w:rPr>
        <w:t xml:space="preserve"> </w:t>
      </w:r>
      <w:r w:rsidRPr="00E3754A">
        <w:rPr>
          <w:lang w:val="en-AU"/>
        </w:rPr>
        <w:t xml:space="preserve">can </w:t>
      </w:r>
      <w:r w:rsidR="006E1A0F" w:rsidRPr="00E3754A">
        <w:rPr>
          <w:lang w:val="en-AU"/>
        </w:rPr>
        <w:t>experience barriers in</w:t>
      </w:r>
      <w:r w:rsidRPr="00E3754A">
        <w:rPr>
          <w:lang w:val="en-AU"/>
        </w:rPr>
        <w:t xml:space="preserve"> accessing the support or services they need, which can include issues with cost, transportation, and lack of time for appointments (Pathare &amp; Shields, 2012).</w:t>
      </w:r>
      <w:r w:rsidR="00BE2C9E" w:rsidRPr="00E3754A">
        <w:rPr>
          <w:lang w:val="en-AU"/>
        </w:rPr>
        <w:t xml:space="preserve"> </w:t>
      </w:r>
    </w:p>
    <w:p w14:paraId="19F2734D" w14:textId="6F4CFE77" w:rsidR="00CA7E14" w:rsidRPr="00E3754A" w:rsidRDefault="00CA7E14" w:rsidP="00CA7E14">
      <w:pPr>
        <w:pStyle w:val="Heading4"/>
        <w:rPr>
          <w:lang w:val="en-AU"/>
        </w:rPr>
      </w:pPr>
      <w:r w:rsidRPr="00E3754A">
        <w:rPr>
          <w:lang w:val="en-AU"/>
        </w:rPr>
        <w:t>Paternalism and Abuse</w:t>
      </w:r>
    </w:p>
    <w:p w14:paraId="4A4AF8DB" w14:textId="2AB1EFD8" w:rsidR="00BE2C9E" w:rsidRPr="00E3754A" w:rsidRDefault="00BE2C9E" w:rsidP="00BE2C9E">
      <w:pPr>
        <w:pStyle w:val="NoSpacing"/>
        <w:rPr>
          <w:lang w:val="en-AU"/>
        </w:rPr>
      </w:pPr>
      <w:r w:rsidRPr="00E3754A">
        <w:rPr>
          <w:lang w:val="en-AU"/>
        </w:rPr>
        <w:t xml:space="preserve">There is concern raised in the literature about whether support persons (who are often family members) can be fully trusted to help make decisions that are consistent with the will and preferences of the </w:t>
      </w:r>
      <w:r w:rsidR="002C5EA2" w:rsidRPr="00E3754A">
        <w:rPr>
          <w:lang w:val="en-AU"/>
        </w:rPr>
        <w:t>disabled person</w:t>
      </w:r>
      <w:r w:rsidRPr="00E3754A">
        <w:rPr>
          <w:lang w:val="en-AU"/>
        </w:rPr>
        <w:t xml:space="preserve"> rather than conflating their own opinions and interests in the process (Arstein-Kerslake, 2016; Knox et al., 2016; Scotland et al., 2013; Stainton, 2015). </w:t>
      </w:r>
      <w:r w:rsidR="00FF3195" w:rsidRPr="00E3754A">
        <w:rPr>
          <w:lang w:val="en-AU"/>
        </w:rPr>
        <w:t xml:space="preserve">Evidence shows that it is not uncommon for supporters to conflate their interests or value their own opinions and judgements above the supported person (see Tracy, 2015 and Werner 2012). </w:t>
      </w:r>
      <w:r w:rsidRPr="00E3754A">
        <w:rPr>
          <w:lang w:val="en-AU"/>
        </w:rPr>
        <w:t xml:space="preserve">Gooding (2015) argues that where decisions reflect the interests of the third party instead of the </w:t>
      </w:r>
      <w:r w:rsidR="002C5EA2" w:rsidRPr="00E3754A">
        <w:rPr>
          <w:lang w:val="en-AU"/>
        </w:rPr>
        <w:t>disabled person</w:t>
      </w:r>
      <w:r w:rsidRPr="00E3754A">
        <w:rPr>
          <w:lang w:val="en-AU"/>
        </w:rPr>
        <w:t xml:space="preserve"> themselves, then decisions of this nature are a</w:t>
      </w:r>
      <w:r w:rsidR="004E5E9B" w:rsidRPr="00E3754A">
        <w:rPr>
          <w:lang w:val="en-AU"/>
        </w:rPr>
        <w:t xml:space="preserve"> form of</w:t>
      </w:r>
      <w:r w:rsidRPr="00E3754A">
        <w:rPr>
          <w:lang w:val="en-AU"/>
        </w:rPr>
        <w:t xml:space="preserve"> </w:t>
      </w:r>
      <w:r w:rsidRPr="00E3754A">
        <w:rPr>
          <w:i/>
          <w:lang w:val="en-AU"/>
        </w:rPr>
        <w:t>de facto</w:t>
      </w:r>
      <w:r w:rsidRPr="00E3754A">
        <w:rPr>
          <w:lang w:val="en-AU"/>
        </w:rPr>
        <w:t xml:space="preserve"> substituted decision-making. It can be difficult for those who are not as close to the </w:t>
      </w:r>
      <w:r w:rsidR="002C5EA2" w:rsidRPr="00E3754A">
        <w:rPr>
          <w:lang w:val="en-AU"/>
        </w:rPr>
        <w:t>disabled person</w:t>
      </w:r>
      <w:r w:rsidRPr="00E3754A">
        <w:rPr>
          <w:lang w:val="en-AU"/>
        </w:rPr>
        <w:t xml:space="preserve"> to distinguish between the interests and voice of the </w:t>
      </w:r>
      <w:r w:rsidR="002C5EA2" w:rsidRPr="00E3754A">
        <w:rPr>
          <w:lang w:val="en-AU"/>
        </w:rPr>
        <w:t>disabled person</w:t>
      </w:r>
      <w:r w:rsidRPr="00E3754A">
        <w:rPr>
          <w:lang w:val="en-AU"/>
        </w:rPr>
        <w:t xml:space="preserve"> and the interests and voice </w:t>
      </w:r>
      <w:r w:rsidR="0026061A" w:rsidRPr="00E3754A">
        <w:rPr>
          <w:lang w:val="en-AU"/>
        </w:rPr>
        <w:t>of the supporter</w:t>
      </w:r>
      <w:r w:rsidRPr="00E3754A">
        <w:rPr>
          <w:lang w:val="en-AU"/>
        </w:rPr>
        <w:t xml:space="preserve"> (Woudzia, 2016). Additionally, caregivers experience a professional and ethical responsibility to make the ‘right’ choice, which can compromise the extent to which they realise a person’s will and preferences and support their participation (Watson, 2016a; Werner, 2012). For example, caregivers and support workers may have a ‘duty of care’</w:t>
      </w:r>
      <w:r w:rsidR="000E7248" w:rsidRPr="00E3754A">
        <w:rPr>
          <w:lang w:val="en-AU"/>
        </w:rPr>
        <w:t xml:space="preserve"> but, at</w:t>
      </w:r>
      <w:r w:rsidRPr="00E3754A">
        <w:rPr>
          <w:lang w:val="en-AU"/>
        </w:rPr>
        <w:t xml:space="preserve"> the same time</w:t>
      </w:r>
      <w:r w:rsidR="000E7248" w:rsidRPr="00E3754A">
        <w:rPr>
          <w:lang w:val="en-AU"/>
        </w:rPr>
        <w:t xml:space="preserve"> and</w:t>
      </w:r>
      <w:r w:rsidRPr="00E3754A">
        <w:rPr>
          <w:lang w:val="en-AU"/>
        </w:rPr>
        <w:t xml:space="preserve"> under the Convention, supporters </w:t>
      </w:r>
      <w:r w:rsidR="001331D1" w:rsidRPr="00E3754A">
        <w:rPr>
          <w:lang w:val="en-AU"/>
        </w:rPr>
        <w:t xml:space="preserve">are </w:t>
      </w:r>
      <w:r w:rsidR="00412BC4" w:rsidRPr="00E3754A">
        <w:rPr>
          <w:lang w:val="en-AU"/>
        </w:rPr>
        <w:t>encouraged</w:t>
      </w:r>
      <w:r w:rsidRPr="00E3754A">
        <w:rPr>
          <w:lang w:val="en-AU"/>
        </w:rPr>
        <w:t xml:space="preserve"> to support the will and preferences and decision-making capacity of the </w:t>
      </w:r>
      <w:r w:rsidR="002C5EA2" w:rsidRPr="00E3754A">
        <w:rPr>
          <w:lang w:val="en-AU"/>
        </w:rPr>
        <w:t>disabled person</w:t>
      </w:r>
      <w:r w:rsidRPr="00E3754A">
        <w:rPr>
          <w:lang w:val="en-AU"/>
        </w:rPr>
        <w:t xml:space="preserve"> (Dickey, 2016; Keeling, 2016; Series, 2015; Watson, 201</w:t>
      </w:r>
      <w:r w:rsidR="001331D1" w:rsidRPr="00E3754A">
        <w:rPr>
          <w:lang w:val="en-AU"/>
        </w:rPr>
        <w:t>6a). Thus, persons who support</w:t>
      </w:r>
      <w:r w:rsidRPr="00E3754A">
        <w:rPr>
          <w:lang w:val="en-AU"/>
        </w:rPr>
        <w:t xml:space="preserve"> </w:t>
      </w:r>
      <w:r w:rsidR="002C5EA2" w:rsidRPr="00E3754A">
        <w:rPr>
          <w:lang w:val="en-AU"/>
        </w:rPr>
        <w:t xml:space="preserve">disabled </w:t>
      </w:r>
      <w:r w:rsidR="001331D1" w:rsidRPr="00E3754A">
        <w:rPr>
          <w:lang w:val="en-AU"/>
        </w:rPr>
        <w:t>people</w:t>
      </w:r>
      <w:r w:rsidRPr="00E3754A">
        <w:rPr>
          <w:lang w:val="en-AU"/>
        </w:rPr>
        <w:t xml:space="preserve"> to make decisions find themselves having to negotiate between different obligations, which are sometimes in conflict with each other. As Watson (2016a) argues, this is an example of the support environment </w:t>
      </w:r>
      <w:r w:rsidR="0008601D" w:rsidRPr="00E3754A">
        <w:rPr>
          <w:lang w:val="en-AU"/>
        </w:rPr>
        <w:t>being set up in such a way</w:t>
      </w:r>
      <w:r w:rsidRPr="00E3754A">
        <w:rPr>
          <w:lang w:val="en-AU"/>
        </w:rPr>
        <w:t xml:space="preserve"> that </w:t>
      </w:r>
      <w:r w:rsidR="0008601D" w:rsidRPr="00E3754A">
        <w:rPr>
          <w:lang w:val="en-AU"/>
        </w:rPr>
        <w:t>the exercise</w:t>
      </w:r>
      <w:r w:rsidRPr="00E3754A">
        <w:rPr>
          <w:lang w:val="en-AU"/>
        </w:rPr>
        <w:t xml:space="preserve"> of legal</w:t>
      </w:r>
      <w:r w:rsidR="00BB0DC1" w:rsidRPr="00E3754A">
        <w:rPr>
          <w:lang w:val="en-AU"/>
        </w:rPr>
        <w:t xml:space="preserve"> capacity </w:t>
      </w:r>
      <w:r w:rsidR="0008601D" w:rsidRPr="00E3754A">
        <w:rPr>
          <w:lang w:val="en-AU"/>
        </w:rPr>
        <w:t>is compromised and paternalism is encouraged</w:t>
      </w:r>
      <w:r w:rsidRPr="00E3754A">
        <w:rPr>
          <w:lang w:val="en-AU"/>
        </w:rPr>
        <w:t>. There is some eviden</w:t>
      </w:r>
      <w:r w:rsidR="00BB0DC1" w:rsidRPr="00E3754A">
        <w:rPr>
          <w:lang w:val="en-AU"/>
        </w:rPr>
        <w:t>ce that there is a tendency amo</w:t>
      </w:r>
      <w:r w:rsidRPr="00E3754A">
        <w:rPr>
          <w:lang w:val="en-AU"/>
        </w:rPr>
        <w:t>ng supporters to comply with their duty of care over the supported person’s will and preference (Watson, 2016a)</w:t>
      </w:r>
      <w:r w:rsidR="00695ADB">
        <w:rPr>
          <w:lang w:val="en-AU"/>
        </w:rPr>
        <w:t>.</w:t>
      </w:r>
    </w:p>
    <w:p w14:paraId="3939BE27" w14:textId="1DB73F1B" w:rsidR="00BE2C9E" w:rsidRPr="00E3754A" w:rsidRDefault="0008601D" w:rsidP="00BE2C9E">
      <w:pPr>
        <w:pStyle w:val="NoSpacing"/>
        <w:rPr>
          <w:lang w:val="en-AU"/>
        </w:rPr>
      </w:pPr>
      <w:r w:rsidRPr="00E3754A">
        <w:rPr>
          <w:lang w:val="en-AU"/>
        </w:rPr>
        <w:t>Furthermore, disabled people</w:t>
      </w:r>
      <w:r w:rsidR="00BE2C9E" w:rsidRPr="00E3754A">
        <w:rPr>
          <w:lang w:val="en-AU"/>
        </w:rPr>
        <w:t xml:space="preserve"> are often in high-dependency relationships which can subsequently result in an increased risk of control and coercion (Arstein-Kerslake, 2016). </w:t>
      </w:r>
      <w:r w:rsidR="0084655C" w:rsidRPr="00E3754A">
        <w:rPr>
          <w:lang w:val="en-AU"/>
        </w:rPr>
        <w:t>In addition</w:t>
      </w:r>
      <w:r w:rsidR="00BE2C9E" w:rsidRPr="00E3754A">
        <w:rPr>
          <w:lang w:val="en-AU"/>
        </w:rPr>
        <w:t>, a support person is an individual with their own personality, interests, biases, and opinions (Knox et al., 2016</w:t>
      </w:r>
      <w:r w:rsidR="00226FC0" w:rsidRPr="00E3754A">
        <w:rPr>
          <w:lang w:val="en-AU"/>
        </w:rPr>
        <w:t>; Series et al., 2014</w:t>
      </w:r>
      <w:r w:rsidR="00BE2C9E" w:rsidRPr="00E3754A">
        <w:rPr>
          <w:lang w:val="en-AU"/>
        </w:rPr>
        <w:t xml:space="preserve">), not a mechanical tool as the ‘cognitive prosthesis model’ earlier might suggest (Arstein-Kerslake, 2016). Evidence suggests that, given these relationships of dependency, family can obstruct </w:t>
      </w:r>
      <w:r w:rsidR="002C5EA2" w:rsidRPr="00E3754A">
        <w:rPr>
          <w:lang w:val="en-AU"/>
        </w:rPr>
        <w:t xml:space="preserve">disabled </w:t>
      </w:r>
      <w:r w:rsidR="0084655C" w:rsidRPr="00E3754A">
        <w:rPr>
          <w:lang w:val="en-AU"/>
        </w:rPr>
        <w:t>people</w:t>
      </w:r>
      <w:r w:rsidR="00BE2C9E" w:rsidRPr="00E3754A">
        <w:rPr>
          <w:lang w:val="en-AU"/>
        </w:rPr>
        <w:t xml:space="preserve"> from accessing support (for example, by means of controlling the </w:t>
      </w:r>
      <w:r w:rsidR="002C5EA2" w:rsidRPr="00E3754A">
        <w:rPr>
          <w:lang w:val="en-AU"/>
        </w:rPr>
        <w:t>disabled person</w:t>
      </w:r>
      <w:r w:rsidR="00BE2C9E" w:rsidRPr="00E3754A">
        <w:rPr>
          <w:lang w:val="en-AU"/>
        </w:rPr>
        <w:t>’s finances) based on their</w:t>
      </w:r>
      <w:r w:rsidR="003E27F6" w:rsidRPr="00E3754A">
        <w:rPr>
          <w:lang w:val="en-AU"/>
        </w:rPr>
        <w:t xml:space="preserve"> own</w:t>
      </w:r>
      <w:r w:rsidR="00BE2C9E" w:rsidRPr="00E3754A">
        <w:rPr>
          <w:lang w:val="en-AU"/>
        </w:rPr>
        <w:t xml:space="preserve"> </w:t>
      </w:r>
      <w:r w:rsidR="0084655C" w:rsidRPr="00E3754A">
        <w:rPr>
          <w:lang w:val="en-AU"/>
        </w:rPr>
        <w:t>values and views</w:t>
      </w:r>
      <w:r w:rsidR="002657E7" w:rsidRPr="00E3754A">
        <w:rPr>
          <w:lang w:val="en-AU"/>
        </w:rPr>
        <w:t xml:space="preserve"> about what the</w:t>
      </w:r>
      <w:r w:rsidR="00BE2C9E" w:rsidRPr="00E3754A">
        <w:rPr>
          <w:lang w:val="en-AU"/>
        </w:rPr>
        <w:t xml:space="preserve"> </w:t>
      </w:r>
      <w:r w:rsidR="002C5EA2" w:rsidRPr="00E3754A">
        <w:rPr>
          <w:lang w:val="en-AU"/>
        </w:rPr>
        <w:t>disabled person</w:t>
      </w:r>
      <w:r w:rsidR="00BE2C9E" w:rsidRPr="00E3754A">
        <w:rPr>
          <w:lang w:val="en-AU"/>
        </w:rPr>
        <w:t xml:space="preserve"> should be doing (Burgen, 2016). The role of supporter can place a large demand on a person because it requires that they: divorce their identity from the support they provide; be insightful into their own biases to avoid conflation; and be perceptive to the person’s will and preferences and perceptive </w:t>
      </w:r>
      <w:r w:rsidR="002657E7" w:rsidRPr="00E3754A">
        <w:rPr>
          <w:lang w:val="en-AU"/>
        </w:rPr>
        <w:t>about the means to</w:t>
      </w:r>
      <w:r w:rsidR="00BE2C9E" w:rsidRPr="00E3754A">
        <w:rPr>
          <w:lang w:val="en-AU"/>
        </w:rPr>
        <w:t xml:space="preserve"> best facilitate the decision-making process (Arstein-Kerslake, 2016). It is proposed that it can be ensured that the relationship does not </w:t>
      </w:r>
      <w:r w:rsidR="002657E7" w:rsidRPr="00E3754A">
        <w:rPr>
          <w:lang w:val="en-AU"/>
        </w:rPr>
        <w:t>become abusive through</w:t>
      </w:r>
      <w:r w:rsidR="00F5294C">
        <w:rPr>
          <w:lang w:val="en-AU"/>
        </w:rPr>
        <w:t>:</w:t>
      </w:r>
      <w:r w:rsidR="002657E7" w:rsidRPr="00E3754A">
        <w:rPr>
          <w:lang w:val="en-AU"/>
        </w:rPr>
        <w:t xml:space="preserve"> </w:t>
      </w:r>
    </w:p>
    <w:p w14:paraId="7740BAC7" w14:textId="36E5F39C" w:rsidR="00BE2C9E" w:rsidRPr="00E3754A" w:rsidRDefault="00BE2C9E" w:rsidP="007E51DB">
      <w:pPr>
        <w:pStyle w:val="NoSpacing"/>
        <w:numPr>
          <w:ilvl w:val="0"/>
          <w:numId w:val="7"/>
        </w:numPr>
        <w:rPr>
          <w:lang w:val="en-AU"/>
        </w:rPr>
      </w:pPr>
      <w:r w:rsidRPr="00E3754A">
        <w:rPr>
          <w:lang w:val="en-AU"/>
        </w:rPr>
        <w:t>Supported decision-making training and providing both parties with adequate access to resources, training, and assistance so that parties are aware of how to engage in a relationship which does no</w:t>
      </w:r>
      <w:r w:rsidR="002657E7" w:rsidRPr="00E3754A">
        <w:rPr>
          <w:lang w:val="en-AU"/>
        </w:rPr>
        <w:t>t involve abuse and domination.</w:t>
      </w:r>
      <w:r w:rsidRPr="00E3754A">
        <w:rPr>
          <w:lang w:val="en-AU"/>
        </w:rPr>
        <w:t xml:space="preserve"> </w:t>
      </w:r>
    </w:p>
    <w:p w14:paraId="094A519E" w14:textId="40DD9C08" w:rsidR="00BE2C9E" w:rsidRPr="00E3754A" w:rsidRDefault="00BE2C9E" w:rsidP="007E51DB">
      <w:pPr>
        <w:pStyle w:val="NoSpacing"/>
        <w:numPr>
          <w:ilvl w:val="0"/>
          <w:numId w:val="7"/>
        </w:numPr>
        <w:rPr>
          <w:lang w:val="en-AU"/>
        </w:rPr>
      </w:pPr>
      <w:r w:rsidRPr="00E3754A">
        <w:rPr>
          <w:lang w:val="en-AU"/>
        </w:rPr>
        <w:t xml:space="preserve">The </w:t>
      </w:r>
      <w:r w:rsidR="002C5EA2" w:rsidRPr="00E3754A">
        <w:rPr>
          <w:lang w:val="en-AU"/>
        </w:rPr>
        <w:t>disabled person</w:t>
      </w:r>
      <w:r w:rsidRPr="00E3754A">
        <w:rPr>
          <w:lang w:val="en-AU"/>
        </w:rPr>
        <w:t xml:space="preserve"> </w:t>
      </w:r>
      <w:r w:rsidR="002657E7" w:rsidRPr="00E3754A">
        <w:rPr>
          <w:lang w:val="en-AU"/>
        </w:rPr>
        <w:t>being present or participating</w:t>
      </w:r>
      <w:r w:rsidRPr="00E3754A">
        <w:rPr>
          <w:lang w:val="en-AU"/>
        </w:rPr>
        <w:t xml:space="preserve"> in all decision-making processes for the purposes of checking-in with them and providing the </w:t>
      </w:r>
      <w:r w:rsidR="002C5EA2" w:rsidRPr="00E3754A">
        <w:rPr>
          <w:lang w:val="en-AU"/>
        </w:rPr>
        <w:t>disabled person</w:t>
      </w:r>
      <w:r w:rsidRPr="00E3754A">
        <w:rPr>
          <w:lang w:val="en-AU"/>
        </w:rPr>
        <w:t xml:space="preserve"> opportunities to respond to the support provided</w:t>
      </w:r>
      <w:r w:rsidR="00F5294C">
        <w:rPr>
          <w:lang w:val="en-AU"/>
        </w:rPr>
        <w:t xml:space="preserve"> </w:t>
      </w:r>
      <w:r w:rsidR="00F5294C" w:rsidRPr="008E2F0F">
        <w:rPr>
          <w:lang w:val="en-AU"/>
        </w:rPr>
        <w:t>(Arstein-Kerslake, 2016; also see Flynn, 2010</w:t>
      </w:r>
      <w:r w:rsidR="00F5294C">
        <w:rPr>
          <w:lang w:val="en-AU"/>
        </w:rPr>
        <w:t>)</w:t>
      </w:r>
      <w:r w:rsidRPr="00E3754A">
        <w:rPr>
          <w:lang w:val="en-AU"/>
        </w:rPr>
        <w:t>.</w:t>
      </w:r>
    </w:p>
    <w:p w14:paraId="0329CE7A" w14:textId="4C7412E4" w:rsidR="00BE2C9E" w:rsidRPr="00E3754A" w:rsidRDefault="00BE2C9E" w:rsidP="00BE2C9E">
      <w:pPr>
        <w:pStyle w:val="NoSpacing"/>
        <w:rPr>
          <w:lang w:val="en-AU"/>
        </w:rPr>
      </w:pPr>
      <w:r w:rsidRPr="00E3754A">
        <w:rPr>
          <w:lang w:val="en-AU"/>
        </w:rPr>
        <w:t xml:space="preserve">McSherry &amp; Wilson (2011) argue that </w:t>
      </w:r>
      <w:r w:rsidR="006D2739" w:rsidRPr="00E3754A">
        <w:rPr>
          <w:lang w:val="en-AU"/>
        </w:rPr>
        <w:t>generally</w:t>
      </w:r>
      <w:r w:rsidR="003F187E" w:rsidRPr="00E3754A">
        <w:rPr>
          <w:lang w:val="en-AU"/>
        </w:rPr>
        <w:t xml:space="preserve"> </w:t>
      </w:r>
      <w:r w:rsidRPr="00E3754A">
        <w:rPr>
          <w:lang w:val="en-AU"/>
        </w:rPr>
        <w:t xml:space="preserve">there has been little attention given by professionals to human rights and human rights instruments in mental health. This indicates that there is a practical issue to realising </w:t>
      </w:r>
      <w:r w:rsidR="00D02325" w:rsidRPr="00E3754A">
        <w:rPr>
          <w:lang w:val="en-AU"/>
        </w:rPr>
        <w:t xml:space="preserve">the shift from paternalistic intervention to </w:t>
      </w:r>
      <w:r w:rsidRPr="00E3754A">
        <w:rPr>
          <w:lang w:val="en-AU"/>
        </w:rPr>
        <w:t xml:space="preserve">supported decision-making and the </w:t>
      </w:r>
      <w:r w:rsidR="002657E7" w:rsidRPr="00E3754A">
        <w:rPr>
          <w:lang w:val="en-AU"/>
        </w:rPr>
        <w:t>Convention</w:t>
      </w:r>
      <w:r w:rsidRPr="00E3754A">
        <w:rPr>
          <w:lang w:val="en-AU"/>
        </w:rPr>
        <w:t xml:space="preserve"> that needs to be addressed.</w:t>
      </w:r>
    </w:p>
    <w:p w14:paraId="6BC3B5D2" w14:textId="2F0CC05A" w:rsidR="00BE2C9E" w:rsidRPr="00E3754A" w:rsidRDefault="00BE2C9E" w:rsidP="00BE2C9E">
      <w:pPr>
        <w:pStyle w:val="NoSpacing"/>
        <w:rPr>
          <w:lang w:val="en-AU"/>
        </w:rPr>
      </w:pPr>
      <w:r w:rsidRPr="00E3754A">
        <w:rPr>
          <w:lang w:val="en-AU"/>
        </w:rPr>
        <w:t xml:space="preserve">Chan (2016) explores how accommodating for </w:t>
      </w:r>
      <w:r w:rsidR="002C5EA2" w:rsidRPr="00E3754A">
        <w:rPr>
          <w:lang w:val="en-AU"/>
        </w:rPr>
        <w:t>disabled person</w:t>
      </w:r>
      <w:r w:rsidRPr="00E3754A">
        <w:rPr>
          <w:lang w:val="en-AU"/>
        </w:rPr>
        <w:t xml:space="preserve">s in closed environments, such as detention centres, can heighten the vulnerability and risk of abuse for </w:t>
      </w:r>
      <w:r w:rsidR="002C5EA2" w:rsidRPr="00E3754A">
        <w:rPr>
          <w:lang w:val="en-AU"/>
        </w:rPr>
        <w:t>disabled person</w:t>
      </w:r>
      <w:r w:rsidRPr="00E3754A">
        <w:rPr>
          <w:lang w:val="en-AU"/>
        </w:rPr>
        <w:t xml:space="preserve">s. He implies that accommodating </w:t>
      </w:r>
      <w:r w:rsidR="002C5EA2" w:rsidRPr="00E3754A">
        <w:rPr>
          <w:lang w:val="en-AU"/>
        </w:rPr>
        <w:t>disabled person</w:t>
      </w:r>
      <w:r w:rsidRPr="00E3754A">
        <w:rPr>
          <w:lang w:val="en-AU"/>
        </w:rPr>
        <w:t xml:space="preserve">s in this manner needs to be avoided for the purposes of safeguarding patients from abuse and exploitation and for the purposes of complying with the ‘will and preference’ focus of the </w:t>
      </w:r>
      <w:r w:rsidR="00392157" w:rsidRPr="00E3754A">
        <w:rPr>
          <w:lang w:val="en-AU"/>
        </w:rPr>
        <w:t>Convention</w:t>
      </w:r>
      <w:r w:rsidRPr="00E3754A">
        <w:rPr>
          <w:lang w:val="en-AU"/>
        </w:rPr>
        <w:t xml:space="preserve">. </w:t>
      </w:r>
    </w:p>
    <w:p w14:paraId="1E48BE52" w14:textId="074AFD13" w:rsidR="00BE2C9E" w:rsidRPr="00E3754A" w:rsidRDefault="00BE2C9E" w:rsidP="00BE2C9E">
      <w:pPr>
        <w:pStyle w:val="NoSpacing"/>
        <w:rPr>
          <w:lang w:val="en-AU"/>
        </w:rPr>
      </w:pPr>
      <w:r w:rsidRPr="00E3754A">
        <w:rPr>
          <w:lang w:val="en-AU"/>
        </w:rPr>
        <w:t>IHC (2016) notes that abuse and neglect tend to be underreported and under-recognised, and thus that safeguards will have to be implemented to address this. Lang e</w:t>
      </w:r>
      <w:r w:rsidR="002F4744" w:rsidRPr="00E3754A">
        <w:rPr>
          <w:lang w:val="en-AU"/>
        </w:rPr>
        <w:t>t al. (2015) similarly advocate</w:t>
      </w:r>
      <w:r w:rsidRPr="00E3754A">
        <w:rPr>
          <w:lang w:val="en-AU"/>
        </w:rPr>
        <w:t xml:space="preserve"> for human rights abuses reporting mechanisms. Kohn &amp; Blumenthal (2014) argue that there is a concerning lack of evidence about intrusion and coercion and their potential and prevalence.</w:t>
      </w:r>
    </w:p>
    <w:tbl>
      <w:tblPr>
        <w:tblStyle w:val="Style1"/>
        <w:tblW w:w="5000" w:type="pct"/>
        <w:tblLook w:val="04A0" w:firstRow="1" w:lastRow="0" w:firstColumn="1" w:lastColumn="0" w:noHBand="0" w:noVBand="1"/>
      </w:tblPr>
      <w:tblGrid>
        <w:gridCol w:w="9236"/>
      </w:tblGrid>
      <w:tr w:rsidR="00BE2C9E" w:rsidRPr="00E3754A" w14:paraId="6871FE79" w14:textId="77777777" w:rsidTr="00ED1A9D">
        <w:tc>
          <w:tcPr>
            <w:tcW w:w="5000" w:type="pct"/>
          </w:tcPr>
          <w:p w14:paraId="67BA12D9" w14:textId="1C05A273" w:rsidR="00BE2C9E" w:rsidRPr="00E3754A" w:rsidRDefault="00BE2C9E" w:rsidP="00BE2C9E">
            <w:pPr>
              <w:pStyle w:val="NoSpacing"/>
              <w:rPr>
                <w:lang w:val="en-AU"/>
              </w:rPr>
            </w:pPr>
            <w:r w:rsidRPr="00E3754A">
              <w:rPr>
                <w:lang w:val="en-AU"/>
              </w:rPr>
              <w:t xml:space="preserve">Douglas et al. (2015) discuss issues in the context of </w:t>
            </w:r>
            <w:r w:rsidRPr="00E3754A">
              <w:rPr>
                <w:rStyle w:val="Emphasis"/>
                <w:lang w:val="en-AU"/>
              </w:rPr>
              <w:t>Australia</w:t>
            </w:r>
            <w:r w:rsidRPr="00E3754A">
              <w:rPr>
                <w:lang w:val="en-AU"/>
              </w:rPr>
              <w:t xml:space="preserve"> with regard to how supporters can consciously or unconsciously dominate the decisions being made in the support process. It is also noted that these supporters receive little guidance on how to most effectively provide support that is consistent with the will and preferences of the supporte</w:t>
            </w:r>
            <w:r w:rsidR="005F72F2" w:rsidRPr="00E3754A">
              <w:rPr>
                <w:lang w:val="en-AU"/>
              </w:rPr>
              <w:t>d person</w:t>
            </w:r>
            <w:r w:rsidRPr="00E3754A">
              <w:rPr>
                <w:lang w:val="en-AU"/>
              </w:rPr>
              <w:t xml:space="preserve">, and further it is implied that this is related to the prevalence of supporter bias and domination </w:t>
            </w:r>
            <w:r w:rsidR="00D959C8" w:rsidRPr="00E3754A">
              <w:rPr>
                <w:lang w:val="en-AU"/>
              </w:rPr>
              <w:t>(</w:t>
            </w:r>
            <w:r w:rsidRPr="00E3754A">
              <w:rPr>
                <w:lang w:val="en-AU"/>
              </w:rPr>
              <w:t>Douglas et al.</w:t>
            </w:r>
            <w:r w:rsidR="00D959C8" w:rsidRPr="00E3754A">
              <w:rPr>
                <w:lang w:val="en-AU"/>
              </w:rPr>
              <w:t>, 2015</w:t>
            </w:r>
            <w:r w:rsidRPr="00E3754A">
              <w:rPr>
                <w:lang w:val="en-AU"/>
              </w:rPr>
              <w:t>).</w:t>
            </w:r>
          </w:p>
        </w:tc>
      </w:tr>
      <w:tr w:rsidR="008C1E60" w:rsidRPr="00E3754A" w14:paraId="1F429F8B" w14:textId="77777777" w:rsidTr="008C1E60">
        <w:tc>
          <w:tcPr>
            <w:tcW w:w="5000" w:type="pct"/>
          </w:tcPr>
          <w:p w14:paraId="76511294" w14:textId="77777777" w:rsidR="008C1E60" w:rsidRPr="00E3754A" w:rsidRDefault="008C1E60" w:rsidP="006C1AEB">
            <w:pPr>
              <w:pStyle w:val="NoSpacing"/>
              <w:rPr>
                <w:lang w:val="en-AU"/>
              </w:rPr>
            </w:pPr>
            <w:r w:rsidRPr="00E3754A">
              <w:rPr>
                <w:lang w:val="en-AU"/>
              </w:rPr>
              <w:t xml:space="preserve">Similarly, </w:t>
            </w:r>
            <w:r w:rsidRPr="00E3754A">
              <w:rPr>
                <w:rStyle w:val="Emphasis"/>
                <w:lang w:val="en-AU"/>
              </w:rPr>
              <w:t>Sweden</w:t>
            </w:r>
            <w:r w:rsidRPr="00E3754A">
              <w:rPr>
                <w:lang w:val="en-AU"/>
              </w:rPr>
              <w:t xml:space="preserve"> has also made operational moves to strengthen and widen the availability and type of support (Watson, 2016a), including the implementation of a mentoring service. Such actions are important precursors to legislative change.</w:t>
            </w:r>
          </w:p>
        </w:tc>
      </w:tr>
      <w:tr w:rsidR="008C1E60" w:rsidRPr="00E3754A" w14:paraId="4A88779E" w14:textId="77777777" w:rsidTr="008C1E60">
        <w:tc>
          <w:tcPr>
            <w:tcW w:w="5000" w:type="pct"/>
          </w:tcPr>
          <w:p w14:paraId="6BC39DC5" w14:textId="77777777" w:rsidR="008C1E60" w:rsidRPr="00E3754A" w:rsidRDefault="008C1E60" w:rsidP="006C1AEB">
            <w:pPr>
              <w:pStyle w:val="NoSpacing"/>
              <w:rPr>
                <w:lang w:val="en-AU"/>
              </w:rPr>
            </w:pPr>
            <w:r w:rsidRPr="00E3754A">
              <w:rPr>
                <w:rStyle w:val="Emphasis"/>
                <w:lang w:val="en-AU"/>
              </w:rPr>
              <w:t>British Columbia, Canada,</w:t>
            </w:r>
            <w:r w:rsidRPr="00E3754A">
              <w:rPr>
                <w:lang w:val="en-AU"/>
              </w:rPr>
              <w:t xml:space="preserve"> has established a monitoring role which serves as a safeguard in a Representation Agreement (Nidus Personal Planning Resource Centre, 2012). A monitor can be appointed by the supported person to oversee the powers and duties of the representative, review information and records related to the disabled person’s representation, co-ordinate multiple representatives, and review the continuation of the agreement itself by ensuring the RA complies with the disabled person’s interests. They are independent from the representative. A monitor is usually necessary with regard to financial matters so to protect a supported person’s financial dignity from potential abuse (Nidus Personal Planning Resource Centre, 2012). However, persons are encouraged to name a monitor wherever possible because doing so ensures an extra safeguard is in place to protect the disabled person from abuse (Pathare &amp; Shields, 2012).</w:t>
            </w:r>
          </w:p>
        </w:tc>
      </w:tr>
    </w:tbl>
    <w:p w14:paraId="52D4BA2A" w14:textId="25CF6F82" w:rsidR="00BE2C9E" w:rsidRPr="00E3754A" w:rsidRDefault="00BE2C9E" w:rsidP="00BE2C9E">
      <w:pPr>
        <w:pStyle w:val="NoSpacing"/>
        <w:rPr>
          <w:lang w:val="en-AU"/>
        </w:rPr>
      </w:pPr>
      <w:r w:rsidRPr="00E3754A">
        <w:rPr>
          <w:lang w:val="en-AU"/>
        </w:rPr>
        <w:t>Similarly, it is important that safeguards</w:t>
      </w:r>
      <w:r w:rsidR="006D2739" w:rsidRPr="00E3754A">
        <w:rPr>
          <w:lang w:val="en-AU"/>
        </w:rPr>
        <w:t xml:space="preserve"> are</w:t>
      </w:r>
      <w:r w:rsidRPr="00E3754A">
        <w:rPr>
          <w:lang w:val="en-AU"/>
        </w:rPr>
        <w:t xml:space="preserve"> in place to avoid the over-regulation of the life of the </w:t>
      </w:r>
      <w:r w:rsidR="002C5EA2" w:rsidRPr="00E3754A">
        <w:rPr>
          <w:lang w:val="en-AU"/>
        </w:rPr>
        <w:t>disabled person</w:t>
      </w:r>
      <w:r w:rsidRPr="00E3754A">
        <w:rPr>
          <w:lang w:val="en-AU"/>
        </w:rPr>
        <w:t xml:space="preserve"> (Arstein-Kerslake, 2016). Although the functional approach</w:t>
      </w:r>
      <w:r w:rsidR="002D76A5" w:rsidRPr="00E3754A">
        <w:rPr>
          <w:lang w:val="en-AU"/>
        </w:rPr>
        <w:t xml:space="preserve"> to testing capacity</w:t>
      </w:r>
      <w:r w:rsidRPr="00E3754A">
        <w:rPr>
          <w:lang w:val="en-AU"/>
        </w:rPr>
        <w:t xml:space="preserve"> is employed in England and Wales, </w:t>
      </w:r>
      <w:r w:rsidR="00860424">
        <w:rPr>
          <w:lang w:val="en-AU"/>
        </w:rPr>
        <w:t>Byrnes et al. (</w:t>
      </w:r>
      <w:r w:rsidR="00860424" w:rsidRPr="00E3754A">
        <w:rPr>
          <w:lang w:val="en-AU"/>
        </w:rPr>
        <w:t>2007</w:t>
      </w:r>
      <w:r w:rsidR="00860424">
        <w:rPr>
          <w:lang w:val="en-AU"/>
        </w:rPr>
        <w:t xml:space="preserve">), </w:t>
      </w:r>
      <w:r w:rsidRPr="00E3754A">
        <w:rPr>
          <w:lang w:val="en-AU"/>
        </w:rPr>
        <w:t>Keeling (2016)</w:t>
      </w:r>
      <w:r w:rsidR="00226FC0" w:rsidRPr="00E3754A">
        <w:rPr>
          <w:lang w:val="en-AU"/>
        </w:rPr>
        <w:t xml:space="preserve">, </w:t>
      </w:r>
      <w:r w:rsidRPr="00E3754A">
        <w:rPr>
          <w:lang w:val="en-AU"/>
        </w:rPr>
        <w:t>Kohn &amp; Blumenthal (2014)</w:t>
      </w:r>
      <w:r w:rsidR="00226FC0" w:rsidRPr="00E3754A">
        <w:rPr>
          <w:lang w:val="en-AU"/>
        </w:rPr>
        <w:t>, and Picton &amp; Elsmore (2009)</w:t>
      </w:r>
      <w:r w:rsidRPr="00E3754A">
        <w:rPr>
          <w:lang w:val="en-AU"/>
        </w:rPr>
        <w:t xml:space="preserve"> raise concern </w:t>
      </w:r>
      <w:r w:rsidR="00226FC0" w:rsidRPr="00E3754A">
        <w:rPr>
          <w:lang w:val="en-AU"/>
        </w:rPr>
        <w:t xml:space="preserve">about cases </w:t>
      </w:r>
      <w:r w:rsidRPr="00E3754A">
        <w:rPr>
          <w:lang w:val="en-AU"/>
        </w:rPr>
        <w:t>where paternalism is used to override a person’s decisions on the basis of disability</w:t>
      </w:r>
      <w:r w:rsidR="002D76A5" w:rsidRPr="00E3754A">
        <w:rPr>
          <w:lang w:val="en-AU"/>
        </w:rPr>
        <w:t xml:space="preserve"> (i.e. status)</w:t>
      </w:r>
      <w:r w:rsidRPr="00E3754A">
        <w:rPr>
          <w:lang w:val="en-AU"/>
        </w:rPr>
        <w:t xml:space="preserve"> and deny them legal agency illegally. Similarly, some evidence </w:t>
      </w:r>
      <w:r w:rsidR="006D2739" w:rsidRPr="00E3754A">
        <w:rPr>
          <w:lang w:val="en-AU"/>
        </w:rPr>
        <w:t>suggests</w:t>
      </w:r>
      <w:r w:rsidRPr="00E3754A">
        <w:rPr>
          <w:lang w:val="en-AU"/>
        </w:rPr>
        <w:t xml:space="preserve"> a culture that favo</w:t>
      </w:r>
      <w:r w:rsidR="00ED2014" w:rsidRPr="00E3754A">
        <w:rPr>
          <w:lang w:val="en-AU"/>
        </w:rPr>
        <w:t>u</w:t>
      </w:r>
      <w:r w:rsidRPr="00E3754A">
        <w:rPr>
          <w:lang w:val="en-AU"/>
        </w:rPr>
        <w:t xml:space="preserve">rs risk-avoidance and defensive practice over </w:t>
      </w:r>
      <w:r w:rsidR="006D2739" w:rsidRPr="00E3754A">
        <w:rPr>
          <w:lang w:val="en-AU"/>
        </w:rPr>
        <w:t>pursuing</w:t>
      </w:r>
      <w:r w:rsidRPr="00E3754A">
        <w:rPr>
          <w:lang w:val="en-AU"/>
        </w:rPr>
        <w:t xml:space="preserve"> </w:t>
      </w:r>
      <w:r w:rsidR="006D2739" w:rsidRPr="00E3754A">
        <w:rPr>
          <w:lang w:val="en-AU"/>
        </w:rPr>
        <w:t xml:space="preserve">the </w:t>
      </w:r>
      <w:r w:rsidRPr="00E3754A">
        <w:rPr>
          <w:lang w:val="en-AU"/>
        </w:rPr>
        <w:t>will and preferences of a person</w:t>
      </w:r>
      <w:r w:rsidR="00814FFB" w:rsidRPr="00E3754A">
        <w:rPr>
          <w:lang w:val="en-AU"/>
        </w:rPr>
        <w:t xml:space="preserve"> (McDaid &amp; Delaney, 2010)</w:t>
      </w:r>
      <w:r w:rsidRPr="00E3754A">
        <w:rPr>
          <w:lang w:val="en-AU"/>
        </w:rPr>
        <w:t xml:space="preserve">, which compromises </w:t>
      </w:r>
      <w:r w:rsidR="00055F24" w:rsidRPr="00E3754A">
        <w:rPr>
          <w:lang w:val="en-AU"/>
        </w:rPr>
        <w:t xml:space="preserve">particular </w:t>
      </w:r>
      <w:r w:rsidRPr="00E3754A">
        <w:rPr>
          <w:lang w:val="en-AU"/>
        </w:rPr>
        <w:t xml:space="preserve">groups </w:t>
      </w:r>
      <w:r w:rsidR="00055F24" w:rsidRPr="00E3754A">
        <w:rPr>
          <w:lang w:val="en-AU"/>
        </w:rPr>
        <w:t>(</w:t>
      </w:r>
      <w:r w:rsidRPr="00E3754A">
        <w:rPr>
          <w:lang w:val="en-AU"/>
        </w:rPr>
        <w:t xml:space="preserve">such as </w:t>
      </w:r>
      <w:r w:rsidR="002C5EA2" w:rsidRPr="00E3754A">
        <w:rPr>
          <w:lang w:val="en-AU"/>
        </w:rPr>
        <w:t xml:space="preserve">disabled </w:t>
      </w:r>
      <w:r w:rsidR="00055F24" w:rsidRPr="00E3754A">
        <w:rPr>
          <w:lang w:val="en-AU"/>
        </w:rPr>
        <w:t>people)</w:t>
      </w:r>
      <w:r w:rsidRPr="00E3754A">
        <w:rPr>
          <w:lang w:val="en-AU"/>
        </w:rPr>
        <w:t xml:space="preserve"> and their opportunities to exercise legal capacity (Watson, 2016a). </w:t>
      </w:r>
      <w:r w:rsidR="002C6E91" w:rsidRPr="00E3754A">
        <w:rPr>
          <w:lang w:val="en-AU"/>
        </w:rPr>
        <w:t xml:space="preserve">Further, support for decision-making is not as strongly endorsed in health care in comparison to other environments in which disabled persons make decisions; paternalistic intervention is often favoured (Werner, 2012). </w:t>
      </w:r>
      <w:r w:rsidR="006D2739" w:rsidRPr="00E3754A">
        <w:rPr>
          <w:lang w:val="en-AU"/>
        </w:rPr>
        <w:t>It also appears that</w:t>
      </w:r>
      <w:r w:rsidRPr="00E3754A">
        <w:rPr>
          <w:lang w:val="en-AU"/>
        </w:rPr>
        <w:t xml:space="preserve"> </w:t>
      </w:r>
      <w:r w:rsidR="006D2739" w:rsidRPr="00E3754A">
        <w:rPr>
          <w:lang w:val="en-AU"/>
        </w:rPr>
        <w:t>disabled people</w:t>
      </w:r>
      <w:r w:rsidRPr="00E3754A">
        <w:rPr>
          <w:lang w:val="en-AU"/>
        </w:rPr>
        <w:t xml:space="preserve"> are not always involved in decision-making processes, often on the status approach (Keeling, 2016). It is argued that these policy-practice gaps serve to continue the stigmati</w:t>
      </w:r>
      <w:r w:rsidR="003338A6" w:rsidRPr="00E3754A">
        <w:rPr>
          <w:lang w:val="en-AU"/>
        </w:rPr>
        <w:t>s</w:t>
      </w:r>
      <w:r w:rsidRPr="00E3754A">
        <w:rPr>
          <w:lang w:val="en-AU"/>
        </w:rPr>
        <w:t xml:space="preserve">ation of </w:t>
      </w:r>
      <w:r w:rsidR="002C5EA2" w:rsidRPr="00E3754A">
        <w:rPr>
          <w:lang w:val="en-AU"/>
        </w:rPr>
        <w:t>disabled person</w:t>
      </w:r>
      <w:r w:rsidRPr="00E3754A">
        <w:rPr>
          <w:lang w:val="en-AU"/>
        </w:rPr>
        <w:t xml:space="preserve">s and violation of their human dignity (Kohn &amp; Blumenthal, 2014). There is a need to address these challenges in the policy-practice gap and </w:t>
      </w:r>
      <w:r w:rsidR="006D2739" w:rsidRPr="00E3754A">
        <w:rPr>
          <w:lang w:val="en-AU"/>
        </w:rPr>
        <w:t xml:space="preserve">to </w:t>
      </w:r>
      <w:r w:rsidRPr="00E3754A">
        <w:rPr>
          <w:lang w:val="en-AU"/>
        </w:rPr>
        <w:t xml:space="preserve">address </w:t>
      </w:r>
      <w:r w:rsidR="006D2739" w:rsidRPr="00E3754A">
        <w:rPr>
          <w:lang w:val="en-AU"/>
        </w:rPr>
        <w:t xml:space="preserve">the </w:t>
      </w:r>
      <w:r w:rsidRPr="00E3754A">
        <w:rPr>
          <w:lang w:val="en-AU"/>
        </w:rPr>
        <w:t>tendenc</w:t>
      </w:r>
      <w:r w:rsidR="006D2739" w:rsidRPr="00E3754A">
        <w:rPr>
          <w:lang w:val="en-AU"/>
        </w:rPr>
        <w:t>y</w:t>
      </w:r>
      <w:r w:rsidRPr="00E3754A">
        <w:rPr>
          <w:lang w:val="en-AU"/>
        </w:rPr>
        <w:t xml:space="preserve"> </w:t>
      </w:r>
      <w:r w:rsidR="006D2739" w:rsidRPr="00E3754A">
        <w:rPr>
          <w:lang w:val="en-AU"/>
        </w:rPr>
        <w:t>for</w:t>
      </w:r>
      <w:r w:rsidRPr="00E3754A">
        <w:rPr>
          <w:lang w:val="en-AU"/>
        </w:rPr>
        <w:t xml:space="preserve"> processes</w:t>
      </w:r>
      <w:r w:rsidR="006D2739" w:rsidRPr="00E3754A">
        <w:rPr>
          <w:lang w:val="en-AU"/>
        </w:rPr>
        <w:t xml:space="preserve"> involving disabled people to be paternalistic in nature</w:t>
      </w:r>
      <w:r w:rsidRPr="00E3754A">
        <w:rPr>
          <w:lang w:val="en-AU"/>
        </w:rPr>
        <w:t xml:space="preserve">. Kohn &amp; Blumenthal (2014) argue that the potential for paternalistic abuse likely increases with informal means of supported decision-making but also notes that there is a lack of empirical data on how abuse acts as a problem in </w:t>
      </w:r>
      <w:r w:rsidR="00BC6534" w:rsidRPr="00E3754A">
        <w:rPr>
          <w:lang w:val="en-AU"/>
        </w:rPr>
        <w:t xml:space="preserve">supported decision-making </w:t>
      </w:r>
      <w:r w:rsidRPr="00E3754A">
        <w:rPr>
          <w:lang w:val="en-AU"/>
        </w:rPr>
        <w:t xml:space="preserve">processes. Carney </w:t>
      </w:r>
      <w:r w:rsidR="00C60DDF" w:rsidRPr="00E3754A">
        <w:rPr>
          <w:lang w:val="en-AU"/>
        </w:rPr>
        <w:t xml:space="preserve">&amp; Beaupert </w:t>
      </w:r>
      <w:r w:rsidRPr="00E3754A">
        <w:rPr>
          <w:lang w:val="en-AU"/>
        </w:rPr>
        <w:t>(2013) take a similar position and argue that informal decision-making support ought to be prevented. However, the General Comment</w:t>
      </w:r>
      <w:r w:rsidR="00E12385" w:rsidRPr="00E3754A">
        <w:rPr>
          <w:lang w:val="en-AU"/>
        </w:rPr>
        <w:t xml:space="preserve"> (General Comment No. 1, 2014)</w:t>
      </w:r>
      <w:r w:rsidRPr="00E3754A">
        <w:rPr>
          <w:lang w:val="en-AU"/>
        </w:rPr>
        <w:t xml:space="preserve"> explicitly clarifies that the </w:t>
      </w:r>
      <w:r w:rsidR="00392157" w:rsidRPr="00E3754A">
        <w:rPr>
          <w:lang w:val="en-AU"/>
        </w:rPr>
        <w:t>Convention</w:t>
      </w:r>
      <w:r w:rsidRPr="00E3754A">
        <w:rPr>
          <w:lang w:val="en-AU"/>
        </w:rPr>
        <w:t xml:space="preserve"> promotes provisions of support </w:t>
      </w:r>
      <w:r w:rsidR="00A36603" w:rsidRPr="00E3754A">
        <w:rPr>
          <w:lang w:val="en-AU"/>
        </w:rPr>
        <w:t>in</w:t>
      </w:r>
      <w:r w:rsidRPr="00E3754A">
        <w:rPr>
          <w:lang w:val="en-AU"/>
        </w:rPr>
        <w:t xml:space="preserve"> both informal and formal arrangements.</w:t>
      </w:r>
    </w:p>
    <w:p w14:paraId="45F6ADBB" w14:textId="05675B40" w:rsidR="00BE2C9E" w:rsidRPr="00E3754A" w:rsidRDefault="00BE2C9E" w:rsidP="00BE2C9E">
      <w:pPr>
        <w:pStyle w:val="NoSpacing"/>
        <w:rPr>
          <w:lang w:val="en-AU"/>
        </w:rPr>
      </w:pPr>
      <w:r w:rsidRPr="00E3754A">
        <w:rPr>
          <w:lang w:val="en-AU"/>
        </w:rPr>
        <w:t xml:space="preserve">Overall, in all means of support, informal and formal, safeguards are needed to avoid the expansion of paternalistic intervention and powers of guardianship under the guise of ‘supported decision-making’. </w:t>
      </w:r>
      <w:r w:rsidR="00B92378" w:rsidRPr="00E3754A">
        <w:rPr>
          <w:lang w:val="en-AU"/>
        </w:rPr>
        <w:t xml:space="preserve">As discussed, options </w:t>
      </w:r>
      <w:r w:rsidRPr="00E3754A">
        <w:rPr>
          <w:lang w:val="en-AU"/>
        </w:rPr>
        <w:t>available may include changing perceptions of disability so that perceptions change about their decision-making abilities and better supporting supporters so that they know more about supported decision-making as a viable alternative.</w:t>
      </w:r>
    </w:p>
    <w:tbl>
      <w:tblPr>
        <w:tblStyle w:val="Style1"/>
        <w:tblW w:w="5000" w:type="pct"/>
        <w:tblLook w:val="04A0" w:firstRow="1" w:lastRow="0" w:firstColumn="1" w:lastColumn="0" w:noHBand="0" w:noVBand="1"/>
      </w:tblPr>
      <w:tblGrid>
        <w:gridCol w:w="9236"/>
      </w:tblGrid>
      <w:tr w:rsidR="00BE2C9E" w:rsidRPr="00E3754A" w14:paraId="29FD102C" w14:textId="77777777" w:rsidTr="00ED1A9D">
        <w:tc>
          <w:tcPr>
            <w:tcW w:w="5000" w:type="pct"/>
          </w:tcPr>
          <w:p w14:paraId="2373BBEC" w14:textId="3BFEB258" w:rsidR="00BE2C9E" w:rsidRPr="00E3754A" w:rsidRDefault="00BE2C9E" w:rsidP="00BE2C9E">
            <w:pPr>
              <w:pStyle w:val="NoSpacing"/>
              <w:rPr>
                <w:lang w:val="en-AU"/>
              </w:rPr>
            </w:pPr>
            <w:r w:rsidRPr="00E3754A">
              <w:rPr>
                <w:lang w:val="en-AU"/>
              </w:rPr>
              <w:t xml:space="preserve">With regard to mental health initiatives, </w:t>
            </w:r>
            <w:r w:rsidRPr="00E3754A">
              <w:rPr>
                <w:rStyle w:val="Emphasis"/>
                <w:lang w:val="en-AU"/>
              </w:rPr>
              <w:t>Victoria, Australia,</w:t>
            </w:r>
            <w:r w:rsidRPr="00E3754A">
              <w:rPr>
                <w:lang w:val="en-AU"/>
              </w:rPr>
              <w:t xml:space="preserve"> is setting up Independent Mental Health Tribunals to execute oversight into more restrictive interventions. The jurisdiction has also restricted the powers professionals and support persons have available to them under law in an effort to reduce the duration of restraint and seclusion interventions (</w:t>
            </w:r>
            <w:r w:rsidR="00126119" w:rsidRPr="00E3754A">
              <w:rPr>
                <w:lang w:val="en-AU"/>
              </w:rPr>
              <w:t>Department of Health, 2014</w:t>
            </w:r>
            <w:r w:rsidRPr="00E3754A">
              <w:rPr>
                <w:lang w:val="en-AU"/>
              </w:rPr>
              <w:t>).</w:t>
            </w:r>
          </w:p>
        </w:tc>
      </w:tr>
    </w:tbl>
    <w:p w14:paraId="5E3104B2" w14:textId="6FA53BCC" w:rsidR="00607CDC" w:rsidRPr="00E3754A" w:rsidRDefault="005F04BB" w:rsidP="005F04BB">
      <w:pPr>
        <w:pStyle w:val="Heading4"/>
        <w:rPr>
          <w:lang w:val="en-AU"/>
        </w:rPr>
      </w:pPr>
      <w:r w:rsidRPr="00E3754A">
        <w:rPr>
          <w:lang w:val="en-AU"/>
        </w:rPr>
        <w:t>Lack of support network</w:t>
      </w:r>
    </w:p>
    <w:p w14:paraId="18052340" w14:textId="68E7076E" w:rsidR="00607CDC" w:rsidRPr="00E3754A" w:rsidRDefault="00607CDC" w:rsidP="00607CDC">
      <w:pPr>
        <w:pStyle w:val="NoSpacing"/>
        <w:rPr>
          <w:lang w:val="en-AU"/>
        </w:rPr>
      </w:pPr>
      <w:r w:rsidRPr="00E3754A">
        <w:rPr>
          <w:lang w:val="en-AU"/>
        </w:rPr>
        <w:t xml:space="preserve">Sometimes </w:t>
      </w:r>
      <w:r w:rsidR="002C5EA2" w:rsidRPr="00E3754A">
        <w:rPr>
          <w:lang w:val="en-AU"/>
        </w:rPr>
        <w:t xml:space="preserve">disabled </w:t>
      </w:r>
      <w:r w:rsidR="003E20E0">
        <w:rPr>
          <w:lang w:val="en-AU"/>
        </w:rPr>
        <w:t>people</w:t>
      </w:r>
      <w:r w:rsidR="003E20E0" w:rsidRPr="00E3754A">
        <w:rPr>
          <w:lang w:val="en-AU"/>
        </w:rPr>
        <w:t xml:space="preserve"> </w:t>
      </w:r>
      <w:r w:rsidRPr="00E3754A">
        <w:rPr>
          <w:lang w:val="en-AU"/>
        </w:rPr>
        <w:t xml:space="preserve">do not have a network or people close to them who can provide support (Stainton, 2015; Scotland et al., 2013). Some groups of </w:t>
      </w:r>
      <w:r w:rsidR="002C5EA2" w:rsidRPr="00E3754A">
        <w:rPr>
          <w:lang w:val="en-AU"/>
        </w:rPr>
        <w:t xml:space="preserve">disabled </w:t>
      </w:r>
      <w:r w:rsidR="00F80DD0" w:rsidRPr="00E3754A">
        <w:rPr>
          <w:lang w:val="en-AU"/>
        </w:rPr>
        <w:t xml:space="preserve">people </w:t>
      </w:r>
      <w:r w:rsidRPr="00E3754A">
        <w:rPr>
          <w:lang w:val="en-AU"/>
        </w:rPr>
        <w:t xml:space="preserve">tend to have smaller social networks and a limited amount of relationships (Watson, 2016a). Some people may be disconnected </w:t>
      </w:r>
      <w:r w:rsidR="00DA0465" w:rsidRPr="00E3754A">
        <w:rPr>
          <w:lang w:val="en-AU"/>
        </w:rPr>
        <w:t>from</w:t>
      </w:r>
      <w:r w:rsidRPr="00E3754A">
        <w:rPr>
          <w:lang w:val="en-AU"/>
        </w:rPr>
        <w:t xml:space="preserve"> their family or oth</w:t>
      </w:r>
      <w:r w:rsidR="00DA0465" w:rsidRPr="00E3754A">
        <w:rPr>
          <w:lang w:val="en-AU"/>
        </w:rPr>
        <w:t xml:space="preserve">er social and support networks, as can be the case </w:t>
      </w:r>
      <w:r w:rsidR="00A94108" w:rsidRPr="00E3754A">
        <w:rPr>
          <w:lang w:val="en-AU"/>
        </w:rPr>
        <w:t xml:space="preserve">for people </w:t>
      </w:r>
      <w:r w:rsidRPr="00E3754A">
        <w:rPr>
          <w:lang w:val="en-AU"/>
        </w:rPr>
        <w:t xml:space="preserve">with </w:t>
      </w:r>
      <w:r w:rsidR="00F80DD0" w:rsidRPr="00E3754A">
        <w:rPr>
          <w:lang w:val="en-AU"/>
        </w:rPr>
        <w:t xml:space="preserve">acquired </w:t>
      </w:r>
      <w:r w:rsidRPr="00E3754A">
        <w:rPr>
          <w:lang w:val="en-AU"/>
        </w:rPr>
        <w:t>bra</w:t>
      </w:r>
      <w:r w:rsidR="00A94108" w:rsidRPr="00E3754A">
        <w:rPr>
          <w:lang w:val="en-AU"/>
        </w:rPr>
        <w:t>in injuries (Knox et al., 2016</w:t>
      </w:r>
      <w:r w:rsidRPr="00E3754A">
        <w:rPr>
          <w:lang w:val="en-AU"/>
        </w:rPr>
        <w:t>). Persons with severe and profound intellectual disabilities also tend to have limited unpaid support (Watson, 2016a). Dickey (2016) describes an occurring trend where people are becoming more individuali</w:t>
      </w:r>
      <w:r w:rsidR="00127B26" w:rsidRPr="00E3754A">
        <w:rPr>
          <w:lang w:val="en-AU"/>
        </w:rPr>
        <w:t>s</w:t>
      </w:r>
      <w:r w:rsidRPr="00E3754A">
        <w:rPr>
          <w:lang w:val="en-AU"/>
        </w:rPr>
        <w:t>ed or isolated in t</w:t>
      </w:r>
      <w:r w:rsidR="00B14602" w:rsidRPr="00E3754A">
        <w:rPr>
          <w:lang w:val="en-AU"/>
        </w:rPr>
        <w:t>heir social spheres or communities</w:t>
      </w:r>
      <w:r w:rsidRPr="00E3754A">
        <w:rPr>
          <w:lang w:val="en-AU"/>
        </w:rPr>
        <w:t xml:space="preserve">. Ultimately, </w:t>
      </w:r>
      <w:r w:rsidR="003E20E0">
        <w:rPr>
          <w:lang w:val="en-AU"/>
        </w:rPr>
        <w:t>reduced</w:t>
      </w:r>
      <w:r w:rsidRPr="00E3754A">
        <w:rPr>
          <w:lang w:val="en-AU"/>
        </w:rPr>
        <w:t xml:space="preserve"> support networks present a challenge to protecting and preserving people’s decision-making ability. </w:t>
      </w:r>
      <w:r w:rsidR="002F2321" w:rsidRPr="00E3754A">
        <w:rPr>
          <w:lang w:val="en-AU"/>
        </w:rPr>
        <w:t xml:space="preserve">Relationship-building support may be needed for such people (Devi, 2012). </w:t>
      </w:r>
      <w:r w:rsidRPr="00E3754A">
        <w:rPr>
          <w:lang w:val="en-AU"/>
        </w:rPr>
        <w:t>Additionally,</w:t>
      </w:r>
      <w:r w:rsidR="002F2321" w:rsidRPr="00E3754A">
        <w:rPr>
          <w:lang w:val="en-AU"/>
        </w:rPr>
        <w:t xml:space="preserve"> in addition to the literature’s emphasis on the importance of close relationships (discussed earlier),</w:t>
      </w:r>
      <w:r w:rsidRPr="00E3754A">
        <w:rPr>
          <w:lang w:val="en-AU"/>
        </w:rPr>
        <w:t xml:space="preserve"> evidence suggests that the presence of close relationships in a </w:t>
      </w:r>
      <w:r w:rsidR="002C5EA2" w:rsidRPr="00E3754A">
        <w:rPr>
          <w:lang w:val="en-AU"/>
        </w:rPr>
        <w:t>disabled person</w:t>
      </w:r>
      <w:r w:rsidRPr="00E3754A">
        <w:rPr>
          <w:lang w:val="en-AU"/>
        </w:rPr>
        <w:t xml:space="preserve">’s support network </w:t>
      </w:r>
      <w:r w:rsidR="002F2321" w:rsidRPr="00E3754A">
        <w:rPr>
          <w:lang w:val="en-AU"/>
        </w:rPr>
        <w:t>are</w:t>
      </w:r>
      <w:r w:rsidRPr="00E3754A">
        <w:rPr>
          <w:lang w:val="en-AU"/>
        </w:rPr>
        <w:t xml:space="preserve"> very valuable for the purposes of supporters being able to be appropriately responsive and better able to interpret a </w:t>
      </w:r>
      <w:r w:rsidR="002C5EA2" w:rsidRPr="00E3754A">
        <w:rPr>
          <w:lang w:val="en-AU"/>
        </w:rPr>
        <w:t>disabled person</w:t>
      </w:r>
      <w:r w:rsidRPr="00E3754A">
        <w:rPr>
          <w:lang w:val="en-AU"/>
        </w:rPr>
        <w:t xml:space="preserve"> </w:t>
      </w:r>
      <w:r w:rsidR="002F4744" w:rsidRPr="00E3754A">
        <w:rPr>
          <w:lang w:val="en-AU"/>
        </w:rPr>
        <w:t xml:space="preserve">and their will and preference </w:t>
      </w:r>
      <w:r w:rsidRPr="00E3754A">
        <w:rPr>
          <w:lang w:val="en-AU"/>
        </w:rPr>
        <w:t>(see Watson, 2016a).</w:t>
      </w:r>
      <w:r w:rsidR="000D722F" w:rsidRPr="00E3754A">
        <w:rPr>
          <w:lang w:val="en-AU"/>
        </w:rPr>
        <w:t xml:space="preserve"> </w:t>
      </w:r>
      <w:r w:rsidRPr="00E3754A">
        <w:rPr>
          <w:lang w:val="en-AU"/>
        </w:rPr>
        <w:t xml:space="preserve">However, paid support remains an option in cases where a </w:t>
      </w:r>
      <w:r w:rsidR="002C5EA2" w:rsidRPr="00E3754A">
        <w:rPr>
          <w:lang w:val="en-AU"/>
        </w:rPr>
        <w:t>disabled person</w:t>
      </w:r>
      <w:r w:rsidRPr="00E3754A">
        <w:rPr>
          <w:lang w:val="en-AU"/>
        </w:rPr>
        <w:t xml:space="preserve"> lacks a support network. With regard to </w:t>
      </w:r>
      <w:r w:rsidR="00002E91">
        <w:rPr>
          <w:lang w:val="en-AU"/>
        </w:rPr>
        <w:t>people</w:t>
      </w:r>
      <w:r w:rsidR="00002E91" w:rsidRPr="00E3754A">
        <w:rPr>
          <w:lang w:val="en-AU"/>
        </w:rPr>
        <w:t xml:space="preserve"> </w:t>
      </w:r>
      <w:r w:rsidRPr="00E3754A">
        <w:rPr>
          <w:lang w:val="en-AU"/>
        </w:rPr>
        <w:t xml:space="preserve">with severe or profound intellectual disability, there is evidence that paid supporters may have more of a positive impact (Watson, 2016a). </w:t>
      </w:r>
      <w:r w:rsidR="007848F2" w:rsidRPr="00E3754A">
        <w:rPr>
          <w:lang w:val="en-AU"/>
        </w:rPr>
        <w:t>As Watson (2016a) notes, l</w:t>
      </w:r>
      <w:r w:rsidR="008A2622" w:rsidRPr="00E3754A">
        <w:rPr>
          <w:lang w:val="en-AU"/>
        </w:rPr>
        <w:t>ike unpaid family and friend support, p</w:t>
      </w:r>
      <w:r w:rsidRPr="00E3754A">
        <w:rPr>
          <w:lang w:val="en-AU"/>
        </w:rPr>
        <w:t xml:space="preserve">aid </w:t>
      </w:r>
      <w:r w:rsidR="008A2622" w:rsidRPr="00E3754A">
        <w:rPr>
          <w:lang w:val="en-AU"/>
        </w:rPr>
        <w:t xml:space="preserve">support </w:t>
      </w:r>
      <w:r w:rsidRPr="00E3754A">
        <w:rPr>
          <w:lang w:val="en-AU"/>
        </w:rPr>
        <w:t xml:space="preserve">can also involve a relationship that is positive and close. </w:t>
      </w:r>
    </w:p>
    <w:tbl>
      <w:tblPr>
        <w:tblStyle w:val="Style1"/>
        <w:tblW w:w="5000" w:type="pct"/>
        <w:tblLook w:val="04A0" w:firstRow="1" w:lastRow="0" w:firstColumn="1" w:lastColumn="0" w:noHBand="0" w:noVBand="1"/>
      </w:tblPr>
      <w:tblGrid>
        <w:gridCol w:w="9236"/>
      </w:tblGrid>
      <w:tr w:rsidR="00607CDC" w:rsidRPr="00E3754A" w14:paraId="07EE8DC9" w14:textId="77777777" w:rsidTr="00ED1A9D">
        <w:tc>
          <w:tcPr>
            <w:tcW w:w="5000" w:type="pct"/>
          </w:tcPr>
          <w:p w14:paraId="18261489" w14:textId="77777777" w:rsidR="00607CDC" w:rsidRPr="00E3754A" w:rsidRDefault="00607CDC" w:rsidP="00607CDC">
            <w:pPr>
              <w:pStyle w:val="NoSpacing"/>
              <w:rPr>
                <w:lang w:val="en-AU"/>
              </w:rPr>
            </w:pPr>
            <w:r w:rsidRPr="00E3754A">
              <w:rPr>
                <w:lang w:val="en-AU"/>
              </w:rPr>
              <w:t xml:space="preserve">In </w:t>
            </w:r>
            <w:r w:rsidRPr="00E3754A">
              <w:rPr>
                <w:rStyle w:val="Emphasis"/>
                <w:lang w:val="en-AU"/>
              </w:rPr>
              <w:t>Canada</w:t>
            </w:r>
            <w:r w:rsidRPr="00E3754A">
              <w:rPr>
                <w:lang w:val="en-AU"/>
              </w:rPr>
              <w:t>, the Planned Lifetime Advocacy Network works to reduce the occurrence of circumstances where people are without support networks. They work to establish and build resources for ongoing support networks and they also provide resources to aid decision-making, including resources on wills, estate planning, and financial security (Stainton, 2015).</w:t>
            </w:r>
          </w:p>
        </w:tc>
      </w:tr>
      <w:tr w:rsidR="008C1E60" w:rsidRPr="00E3754A" w14:paraId="3DCFC98C" w14:textId="77777777" w:rsidTr="008C1E60">
        <w:tc>
          <w:tcPr>
            <w:tcW w:w="5000" w:type="pct"/>
          </w:tcPr>
          <w:p w14:paraId="42E3F236" w14:textId="77777777" w:rsidR="008C1E60" w:rsidRPr="00E3754A" w:rsidRDefault="008C1E60" w:rsidP="006C1AEB">
            <w:pPr>
              <w:pStyle w:val="NoSpacing"/>
              <w:rPr>
                <w:lang w:val="en-AU"/>
              </w:rPr>
            </w:pPr>
            <w:r w:rsidRPr="00E3754A">
              <w:rPr>
                <w:rStyle w:val="Emphasis"/>
                <w:lang w:val="en-AU"/>
              </w:rPr>
              <w:t>Sweden’s</w:t>
            </w:r>
            <w:r w:rsidRPr="00E3754A">
              <w:rPr>
                <w:lang w:val="en-AU"/>
              </w:rPr>
              <w:t xml:space="preserve"> PO Skåne program most often involves developing a trusting, stable, and positive relationship between the PO and supported person over a number of years (Morrissey, 2012).</w:t>
            </w:r>
          </w:p>
        </w:tc>
      </w:tr>
    </w:tbl>
    <w:p w14:paraId="5C5D85B1" w14:textId="45F9A454" w:rsidR="005F04BB" w:rsidRPr="00E3754A" w:rsidRDefault="00607CDC" w:rsidP="005F04BB">
      <w:pPr>
        <w:pStyle w:val="NoSpacing"/>
        <w:rPr>
          <w:lang w:val="en-AU"/>
        </w:rPr>
      </w:pPr>
      <w:r w:rsidRPr="00E3754A">
        <w:rPr>
          <w:lang w:val="en-AU"/>
        </w:rPr>
        <w:t xml:space="preserve">It </w:t>
      </w:r>
      <w:r w:rsidR="000D722F" w:rsidRPr="00E3754A">
        <w:rPr>
          <w:lang w:val="en-AU"/>
        </w:rPr>
        <w:t xml:space="preserve">is also noted in the literature </w:t>
      </w:r>
      <w:r w:rsidRPr="00E3754A">
        <w:rPr>
          <w:lang w:val="en-AU"/>
        </w:rPr>
        <w:t>that the presence of understanding, trust, and closeness as a part of those relationships is a significant part of providing support for decision-making (s</w:t>
      </w:r>
      <w:r w:rsidR="005F04BB" w:rsidRPr="00E3754A">
        <w:rPr>
          <w:lang w:val="en-AU"/>
        </w:rPr>
        <w:t>ee Burgen, 2016).</w:t>
      </w:r>
    </w:p>
    <w:tbl>
      <w:tblPr>
        <w:tblStyle w:val="Style5"/>
        <w:tblW w:w="5000" w:type="pct"/>
        <w:tblLook w:val="04A0" w:firstRow="1" w:lastRow="0" w:firstColumn="1" w:lastColumn="0" w:noHBand="0" w:noVBand="1"/>
      </w:tblPr>
      <w:tblGrid>
        <w:gridCol w:w="9236"/>
      </w:tblGrid>
      <w:tr w:rsidR="005F04BB" w:rsidRPr="00E3754A" w14:paraId="1BC00971" w14:textId="77777777" w:rsidTr="00CC4D12">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0ADEADD9" w14:textId="5F6CC73D" w:rsidR="005F04BB" w:rsidRPr="00E3754A" w:rsidRDefault="005F04BB">
            <w:pPr>
              <w:pStyle w:val="Heading3"/>
              <w:tabs>
                <w:tab w:val="left" w:pos="720"/>
                <w:tab w:val="left" w:pos="1440"/>
                <w:tab w:val="left" w:pos="2160"/>
                <w:tab w:val="left" w:pos="6287"/>
              </w:tabs>
              <w:rPr>
                <w:lang w:val="en-AU"/>
              </w:rPr>
            </w:pPr>
            <w:bookmarkStart w:id="76" w:name="_Toc337970301"/>
            <w:bookmarkStart w:id="77" w:name="_Toc339036867"/>
            <w:r w:rsidRPr="00E3754A">
              <w:rPr>
                <w:lang w:val="en-AU"/>
              </w:rPr>
              <w:t xml:space="preserve">Recognition </w:t>
            </w:r>
            <w:r w:rsidR="00177FAC" w:rsidRPr="00E3754A">
              <w:rPr>
                <w:lang w:val="en-AU"/>
              </w:rPr>
              <w:t>of</w:t>
            </w:r>
            <w:r w:rsidRPr="00E3754A">
              <w:rPr>
                <w:lang w:val="en-AU"/>
              </w:rPr>
              <w:t xml:space="preserve"> </w:t>
            </w:r>
            <w:r w:rsidR="00177FAC" w:rsidRPr="00E3754A">
              <w:rPr>
                <w:lang w:val="en-AU"/>
              </w:rPr>
              <w:t xml:space="preserve">the need for </w:t>
            </w:r>
            <w:r w:rsidRPr="00E3754A">
              <w:rPr>
                <w:lang w:val="en-AU"/>
              </w:rPr>
              <w:t xml:space="preserve">safeguards for </w:t>
            </w:r>
            <w:r w:rsidR="00177FAC" w:rsidRPr="00E3754A">
              <w:rPr>
                <w:lang w:val="en-AU"/>
              </w:rPr>
              <w:t>supporters</w:t>
            </w:r>
            <w:bookmarkEnd w:id="76"/>
            <w:bookmarkEnd w:id="77"/>
          </w:p>
        </w:tc>
      </w:tr>
    </w:tbl>
    <w:p w14:paraId="66E562AD" w14:textId="0214F8EE" w:rsidR="0081217F" w:rsidRPr="00E3754A" w:rsidRDefault="00A74AA3" w:rsidP="00AF7323">
      <w:pPr>
        <w:pStyle w:val="NoSpacing"/>
        <w:rPr>
          <w:lang w:val="en-AU"/>
        </w:rPr>
      </w:pPr>
      <w:r w:rsidRPr="00E3754A">
        <w:rPr>
          <w:lang w:val="en-AU"/>
        </w:rPr>
        <w:t>The last section examined safeguard</w:t>
      </w:r>
      <w:r w:rsidR="002D4D6B" w:rsidRPr="00E3754A">
        <w:rPr>
          <w:lang w:val="en-AU"/>
        </w:rPr>
        <w:t>s</w:t>
      </w:r>
      <w:r w:rsidRPr="00E3754A">
        <w:rPr>
          <w:lang w:val="en-AU"/>
        </w:rPr>
        <w:t xml:space="preserve"> for the disabled person themselves and t</w:t>
      </w:r>
      <w:r w:rsidR="00ED04B2" w:rsidRPr="00E3754A">
        <w:rPr>
          <w:lang w:val="en-AU"/>
        </w:rPr>
        <w:t>his section is concerned with</w:t>
      </w:r>
      <w:r w:rsidRPr="00E3754A">
        <w:rPr>
          <w:lang w:val="en-AU"/>
        </w:rPr>
        <w:t xml:space="preserve"> the supporters in</w:t>
      </w:r>
      <w:r w:rsidR="00ED04B2" w:rsidRPr="00E3754A">
        <w:rPr>
          <w:lang w:val="en-AU"/>
        </w:rPr>
        <w:t xml:space="preserve"> </w:t>
      </w:r>
      <w:r w:rsidR="006D545F" w:rsidRPr="00E3754A">
        <w:rPr>
          <w:lang w:val="en-AU"/>
        </w:rPr>
        <w:t xml:space="preserve">Question </w:t>
      </w:r>
      <w:r w:rsidR="00ED04B2" w:rsidRPr="00E3754A">
        <w:rPr>
          <w:lang w:val="en-AU"/>
        </w:rPr>
        <w:t xml:space="preserve">9, “What recognition and/or protection has been put in place for those </w:t>
      </w:r>
      <w:r w:rsidR="00ED04B2" w:rsidRPr="00E3754A">
        <w:rPr>
          <w:i/>
          <w:lang w:val="en-AU"/>
        </w:rPr>
        <w:t>people supporting</w:t>
      </w:r>
      <w:r w:rsidR="00ED04B2" w:rsidRPr="00E3754A">
        <w:rPr>
          <w:lang w:val="en-AU"/>
        </w:rPr>
        <w:t xml:space="preserve"> a disabled person to exercise their legal capacity?”. </w:t>
      </w:r>
      <w:r w:rsidR="00AF7323" w:rsidRPr="00E3754A">
        <w:rPr>
          <w:lang w:val="en-AU"/>
        </w:rPr>
        <w:t xml:space="preserve">The Committee on the Rights of Persons with Disabilities explicitly recommends training initiatives be developed </w:t>
      </w:r>
      <w:r w:rsidR="000E7248" w:rsidRPr="00E3754A">
        <w:rPr>
          <w:lang w:val="en-AU"/>
        </w:rPr>
        <w:t xml:space="preserve">(also see Inclusion Europe, 2007) </w:t>
      </w:r>
      <w:r w:rsidR="00AF7323" w:rsidRPr="00E3754A">
        <w:rPr>
          <w:lang w:val="en-AU"/>
        </w:rPr>
        <w:t xml:space="preserve">in close consultation with disability organisations and </w:t>
      </w:r>
      <w:r w:rsidR="002C5EA2" w:rsidRPr="00E3754A">
        <w:rPr>
          <w:lang w:val="en-AU"/>
        </w:rPr>
        <w:t xml:space="preserve">disabled </w:t>
      </w:r>
      <w:r w:rsidR="00E24F9E" w:rsidRPr="00E3754A">
        <w:rPr>
          <w:lang w:val="en-AU"/>
        </w:rPr>
        <w:t xml:space="preserve">people </w:t>
      </w:r>
      <w:r w:rsidR="00AF7323" w:rsidRPr="00E3754A">
        <w:rPr>
          <w:lang w:val="en-AU"/>
        </w:rPr>
        <w:t xml:space="preserve">(Bartlett, 2012; </w:t>
      </w:r>
      <w:r w:rsidR="00D57506" w:rsidRPr="00E3754A">
        <w:rPr>
          <w:lang w:val="en-AU"/>
        </w:rPr>
        <w:t xml:space="preserve">Committee on the Rights of Persons with Disabilities, </w:t>
      </w:r>
      <w:r w:rsidR="00B44E4D" w:rsidRPr="00E3754A">
        <w:rPr>
          <w:lang w:val="en-AU"/>
        </w:rPr>
        <w:t>2013</w:t>
      </w:r>
      <w:r w:rsidR="00AF7323" w:rsidRPr="00E3754A">
        <w:rPr>
          <w:lang w:val="en-AU"/>
        </w:rPr>
        <w:t xml:space="preserve">; Lang et al., 2011). Evidence suggests that the training and support provided to supporters, including professionals (such as medical practitioners and psychiatrists) and caregivers, </w:t>
      </w:r>
      <w:r w:rsidR="00E24F9E" w:rsidRPr="00E3754A">
        <w:rPr>
          <w:lang w:val="en-AU"/>
        </w:rPr>
        <w:t xml:space="preserve">have </w:t>
      </w:r>
      <w:r w:rsidR="00AF7323" w:rsidRPr="00E3754A">
        <w:rPr>
          <w:lang w:val="en-AU"/>
        </w:rPr>
        <w:t xml:space="preserve">a significant </w:t>
      </w:r>
      <w:r w:rsidR="00826C61">
        <w:rPr>
          <w:lang w:val="en-AU"/>
        </w:rPr>
        <w:t>affect</w:t>
      </w:r>
      <w:r w:rsidR="00826C61" w:rsidRPr="00E3754A">
        <w:rPr>
          <w:lang w:val="en-AU"/>
        </w:rPr>
        <w:t xml:space="preserve"> </w:t>
      </w:r>
      <w:r w:rsidR="00AF7323" w:rsidRPr="00E3754A">
        <w:rPr>
          <w:lang w:val="en-AU"/>
        </w:rPr>
        <w:t>on the support provided</w:t>
      </w:r>
      <w:r w:rsidR="00E24F9E" w:rsidRPr="00E3754A">
        <w:rPr>
          <w:lang w:val="en-AU"/>
        </w:rPr>
        <w:t xml:space="preserve"> to disabled people</w:t>
      </w:r>
      <w:r w:rsidR="00AF7323" w:rsidRPr="00E3754A">
        <w:rPr>
          <w:lang w:val="en-AU"/>
        </w:rPr>
        <w:t xml:space="preserve"> (Werner, 2012)</w:t>
      </w:r>
      <w:r w:rsidR="00F047F4" w:rsidRPr="00E3754A">
        <w:rPr>
          <w:lang w:val="en-AU"/>
        </w:rPr>
        <w:t xml:space="preserve">. Studies have shown that </w:t>
      </w:r>
      <w:r w:rsidR="00AF7323" w:rsidRPr="00E3754A">
        <w:rPr>
          <w:lang w:val="en-AU"/>
        </w:rPr>
        <w:t>misunderstandings and a lack of knowledge about supporter responsibilities for professionals</w:t>
      </w:r>
      <w:r w:rsidR="00F047F4" w:rsidRPr="00E3754A">
        <w:rPr>
          <w:lang w:val="en-AU"/>
        </w:rPr>
        <w:t xml:space="preserve"> remain </w:t>
      </w:r>
      <w:r w:rsidR="00AF7323" w:rsidRPr="00E3754A">
        <w:rPr>
          <w:lang w:val="en-AU"/>
        </w:rPr>
        <w:t>(Werner, 2012)</w:t>
      </w:r>
      <w:r w:rsidR="00E24F9E" w:rsidRPr="00E3754A">
        <w:rPr>
          <w:lang w:val="en-AU"/>
        </w:rPr>
        <w:t xml:space="preserve"> including:</w:t>
      </w:r>
      <w:r w:rsidR="00AF7323" w:rsidRPr="00E3754A">
        <w:rPr>
          <w:lang w:val="en-AU"/>
        </w:rPr>
        <w:t xml:space="preserve"> a lack of awareness </w:t>
      </w:r>
      <w:r w:rsidR="00E24F9E" w:rsidRPr="00E3754A">
        <w:rPr>
          <w:lang w:val="en-AU"/>
        </w:rPr>
        <w:t xml:space="preserve">that </w:t>
      </w:r>
      <w:r w:rsidR="00AF7323" w:rsidRPr="00E3754A">
        <w:rPr>
          <w:lang w:val="en-AU"/>
        </w:rPr>
        <w:t xml:space="preserve">autonomy </w:t>
      </w:r>
      <w:r w:rsidR="00E24F9E" w:rsidRPr="00E3754A">
        <w:rPr>
          <w:lang w:val="en-AU"/>
        </w:rPr>
        <w:t xml:space="preserve">does </w:t>
      </w:r>
      <w:r w:rsidR="00AF7323" w:rsidRPr="00E3754A">
        <w:rPr>
          <w:lang w:val="en-AU"/>
        </w:rPr>
        <w:t xml:space="preserve">not </w:t>
      </w:r>
      <w:r w:rsidR="00E24F9E" w:rsidRPr="00E3754A">
        <w:rPr>
          <w:lang w:val="en-AU"/>
        </w:rPr>
        <w:t xml:space="preserve">involve </w:t>
      </w:r>
      <w:r w:rsidR="00AF7323" w:rsidRPr="00E3754A">
        <w:rPr>
          <w:lang w:val="en-AU"/>
        </w:rPr>
        <w:t>entirely independent decision-making (Watson, 2016a)</w:t>
      </w:r>
      <w:r w:rsidR="00E24F9E" w:rsidRPr="00E3754A">
        <w:rPr>
          <w:lang w:val="en-AU"/>
        </w:rPr>
        <w:t>;</w:t>
      </w:r>
      <w:r w:rsidR="00AF7323" w:rsidRPr="00E3754A">
        <w:rPr>
          <w:lang w:val="en-AU"/>
        </w:rPr>
        <w:t xml:space="preserve"> and lack of understanding about ‘supported decision-making’ versus ‘substituted decision-making’ and ‘interests’ versus ‘best interests’ (Gooding, 2014). Additionally, Gooding (2014) found that psychiatrists were unlikely to perceive mental illness as being under the umbrella of ‘disability’ as it is conceived of in the Convention. </w:t>
      </w:r>
    </w:p>
    <w:p w14:paraId="76564899" w14:textId="19C829AE" w:rsidR="00AF7323" w:rsidRPr="00E3754A" w:rsidRDefault="00AF7323" w:rsidP="00AF7323">
      <w:pPr>
        <w:pStyle w:val="NoSpacing"/>
        <w:rPr>
          <w:lang w:val="en-AU"/>
        </w:rPr>
      </w:pPr>
      <w:r w:rsidRPr="00E3754A">
        <w:rPr>
          <w:lang w:val="en-AU"/>
        </w:rPr>
        <w:t>Better training and support for professionals needs to be provided so that clear lines are drawn about what is in compliance with the Convention, including: the ‘will and preference’</w:t>
      </w:r>
      <w:r w:rsidR="003102D3" w:rsidRPr="00E3754A">
        <w:rPr>
          <w:lang w:val="en-AU"/>
        </w:rPr>
        <w:t>, social model,</w:t>
      </w:r>
      <w:r w:rsidRPr="00E3754A">
        <w:rPr>
          <w:lang w:val="en-AU"/>
        </w:rPr>
        <w:t xml:space="preserve"> and rights-based philosophies underlying the </w:t>
      </w:r>
      <w:r w:rsidR="00F047F4" w:rsidRPr="00E3754A">
        <w:rPr>
          <w:lang w:val="en-AU"/>
        </w:rPr>
        <w:t>Convention</w:t>
      </w:r>
      <w:r w:rsidRPr="00E3754A">
        <w:rPr>
          <w:lang w:val="en-AU"/>
        </w:rPr>
        <w:t xml:space="preserve">; the persons under the scope of the </w:t>
      </w:r>
      <w:r w:rsidR="00F047F4" w:rsidRPr="00E3754A">
        <w:rPr>
          <w:lang w:val="en-AU"/>
        </w:rPr>
        <w:t>Convention</w:t>
      </w:r>
      <w:r w:rsidRPr="00E3754A">
        <w:rPr>
          <w:lang w:val="en-AU"/>
        </w:rPr>
        <w:t xml:space="preserve">; and professionals’ and families’ roles in the supported decision-making processes. Professionals can provide more than just emotional support for </w:t>
      </w:r>
      <w:r w:rsidR="002C5EA2" w:rsidRPr="00E3754A">
        <w:rPr>
          <w:lang w:val="en-AU"/>
        </w:rPr>
        <w:t xml:space="preserve">disabled </w:t>
      </w:r>
      <w:r w:rsidR="00047BF2" w:rsidRPr="00E3754A">
        <w:rPr>
          <w:lang w:val="en-AU"/>
        </w:rPr>
        <w:t>people</w:t>
      </w:r>
      <w:r w:rsidRPr="00E3754A">
        <w:rPr>
          <w:lang w:val="en-AU"/>
        </w:rPr>
        <w:t xml:space="preserve">; it is important that they realise the range of support they can offer, including providing information, helping weigh relevant factors, and respecting close relationships with others (see Gooding, 2014; Keeling, 2016). Professionals also had the tendency to not regard supported decision-making as a viable alternative to substituted decision-making (Gooding, 2014), however it is inferred that this could be addressed through training and the better dissemination of information (Arstein-Kerslake, 2016; Flynn, 2010; Gooding, 2014; Werner, 2012). Lastly, </w:t>
      </w:r>
      <w:r w:rsidR="005579E3">
        <w:rPr>
          <w:lang w:val="en-AU"/>
        </w:rPr>
        <w:t xml:space="preserve">a </w:t>
      </w:r>
      <w:r w:rsidRPr="00E3754A">
        <w:rPr>
          <w:lang w:val="en-AU"/>
        </w:rPr>
        <w:t xml:space="preserve">supporter’s understanding of unconventional forms of communication and collaborative decision-making seem to affect support, which suggests improvement in this knowledge </w:t>
      </w:r>
      <w:r w:rsidR="00DF410D" w:rsidRPr="00E3754A">
        <w:rPr>
          <w:lang w:val="en-AU"/>
        </w:rPr>
        <w:t>could lead to improved support (</w:t>
      </w:r>
      <w:r w:rsidRPr="00E3754A">
        <w:rPr>
          <w:lang w:val="en-AU"/>
        </w:rPr>
        <w:t>Watson, 2013</w:t>
      </w:r>
      <w:r w:rsidR="00DF410D" w:rsidRPr="00E3754A">
        <w:rPr>
          <w:lang w:val="en-AU"/>
        </w:rPr>
        <w:t>b</w:t>
      </w:r>
      <w:r w:rsidRPr="00E3754A">
        <w:rPr>
          <w:lang w:val="en-AU"/>
        </w:rPr>
        <w:t>).</w:t>
      </w:r>
      <w:r w:rsidR="00224198" w:rsidRPr="00E3754A">
        <w:rPr>
          <w:lang w:val="en-AU"/>
        </w:rPr>
        <w:t xml:space="preserve"> It is signalled that individuals in a person’s support network need to be provided with training, knowledge, and skills for purposes of communicating with disabled</w:t>
      </w:r>
      <w:r w:rsidR="00047BF2" w:rsidRPr="00E3754A">
        <w:rPr>
          <w:lang w:val="en-AU"/>
        </w:rPr>
        <w:t xml:space="preserve"> people</w:t>
      </w:r>
      <w:r w:rsidR="00224198" w:rsidRPr="00E3754A">
        <w:rPr>
          <w:lang w:val="en-AU"/>
        </w:rPr>
        <w:t xml:space="preserve"> (Jameson et al, 2015; Werner, 2012) and for improving supporters</w:t>
      </w:r>
      <w:r w:rsidR="00E87C83">
        <w:rPr>
          <w:lang w:val="en-AU"/>
        </w:rPr>
        <w:t>’</w:t>
      </w:r>
      <w:r w:rsidR="00224198" w:rsidRPr="00E3754A">
        <w:rPr>
          <w:lang w:val="en-AU"/>
        </w:rPr>
        <w:t xml:space="preserve"> ability to discuss topics that they may find uncomfortable (Werner, 2012). An option discussed in Knox et al. (2016) is the benefit of having supporters collaborate with each other, support each other, and bounce ideas off each other for the purposes of arriving at more effective support.</w:t>
      </w:r>
    </w:p>
    <w:p w14:paraId="50637FA3" w14:textId="799E8080" w:rsidR="007870EF" w:rsidRPr="00E3754A" w:rsidRDefault="00AF7323" w:rsidP="007870EF">
      <w:pPr>
        <w:pStyle w:val="NoSpacing"/>
        <w:rPr>
          <w:lang w:val="en-AU"/>
        </w:rPr>
      </w:pPr>
      <w:r w:rsidRPr="00E3754A">
        <w:rPr>
          <w:lang w:val="en-AU"/>
        </w:rPr>
        <w:t xml:space="preserve">Similar to </w:t>
      </w:r>
      <w:r w:rsidR="00947621" w:rsidRPr="00E3754A">
        <w:rPr>
          <w:lang w:val="en-AU"/>
        </w:rPr>
        <w:t xml:space="preserve">the issues discussed </w:t>
      </w:r>
      <w:r w:rsidR="00224198" w:rsidRPr="00E3754A">
        <w:rPr>
          <w:lang w:val="en-AU"/>
        </w:rPr>
        <w:t>in previous sections</w:t>
      </w:r>
      <w:r w:rsidRPr="00E3754A">
        <w:rPr>
          <w:lang w:val="en-AU"/>
        </w:rPr>
        <w:t>, Werner (2012) also notes that workload, availability of aids, staffing shortages, and other organi</w:t>
      </w:r>
      <w:r w:rsidR="00FF15A8" w:rsidRPr="00E3754A">
        <w:rPr>
          <w:lang w:val="en-AU"/>
        </w:rPr>
        <w:t>s</w:t>
      </w:r>
      <w:r w:rsidRPr="00E3754A">
        <w:rPr>
          <w:lang w:val="en-AU"/>
        </w:rPr>
        <w:t>ational factors can compromise a professional’s ability and resources to provide effective support and utili</w:t>
      </w:r>
      <w:r w:rsidR="000C22BE" w:rsidRPr="00E3754A">
        <w:rPr>
          <w:lang w:val="en-AU"/>
        </w:rPr>
        <w:t>s</w:t>
      </w:r>
      <w:r w:rsidRPr="00E3754A">
        <w:rPr>
          <w:lang w:val="en-AU"/>
        </w:rPr>
        <w:t>e support mechanisms.</w:t>
      </w:r>
      <w:r w:rsidR="00224198" w:rsidRPr="00E3754A">
        <w:rPr>
          <w:lang w:val="en-AU"/>
        </w:rPr>
        <w:t xml:space="preserve"> Gooding (2015) also notes that sufficient resources, particularly financial resources, remain a general problem to providing support for exercising legal capacity. He describes how funding schemes are being developed and utilised so to improve resources for implementing support. Evidence from Sweden’s PO Skåne programme suggests that funding schemes work to reduce cost in the long-term because funding effective support reduces the use of crisis mental health services and reduces system weaknesses in service provision (Gooding, 2015). </w:t>
      </w:r>
      <w:r w:rsidRPr="00E3754A">
        <w:rPr>
          <w:lang w:val="en-AU"/>
        </w:rPr>
        <w:t>Supporting supporters extends to developing the strength of support networks that exist or have been created. Strong support networks are crucial to developing their capacity to most effectively facilitate a person’s participation in decision-making (</w:t>
      </w:r>
      <w:r w:rsidR="00C60DDF" w:rsidRPr="00E3754A">
        <w:rPr>
          <w:lang w:val="en-AU"/>
        </w:rPr>
        <w:t>Carney &amp; Beaupert, 2013</w:t>
      </w:r>
      <w:r w:rsidRPr="00E3754A">
        <w:rPr>
          <w:lang w:val="en-AU"/>
        </w:rPr>
        <w:t>).</w:t>
      </w:r>
    </w:p>
    <w:tbl>
      <w:tblPr>
        <w:tblStyle w:val="Style5"/>
        <w:tblW w:w="5000" w:type="pct"/>
        <w:tblLook w:val="04A0" w:firstRow="1" w:lastRow="0" w:firstColumn="1" w:lastColumn="0" w:noHBand="0" w:noVBand="1"/>
      </w:tblPr>
      <w:tblGrid>
        <w:gridCol w:w="9236"/>
      </w:tblGrid>
      <w:tr w:rsidR="007870EF" w:rsidRPr="00E3754A" w14:paraId="557B1BF2" w14:textId="77777777" w:rsidTr="006F28EB">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142473CC" w14:textId="6D41B1F1" w:rsidR="007870EF" w:rsidRPr="00E3754A" w:rsidRDefault="007870EF" w:rsidP="007870EF">
            <w:pPr>
              <w:pStyle w:val="Heading3"/>
              <w:tabs>
                <w:tab w:val="left" w:pos="720"/>
                <w:tab w:val="left" w:pos="1440"/>
                <w:tab w:val="left" w:pos="2160"/>
                <w:tab w:val="left" w:pos="6287"/>
              </w:tabs>
              <w:rPr>
                <w:lang w:val="en-AU"/>
              </w:rPr>
            </w:pPr>
            <w:bookmarkStart w:id="78" w:name="_Toc337970302"/>
            <w:bookmarkStart w:id="79" w:name="_Toc339036868"/>
            <w:r w:rsidRPr="00E3754A">
              <w:rPr>
                <w:lang w:val="en-AU"/>
              </w:rPr>
              <w:t>Need for data</w:t>
            </w:r>
            <w:bookmarkEnd w:id="78"/>
            <w:bookmarkEnd w:id="79"/>
          </w:p>
        </w:tc>
      </w:tr>
    </w:tbl>
    <w:p w14:paraId="5185080F" w14:textId="3F2D2D7A" w:rsidR="007870EF" w:rsidRPr="00E3754A" w:rsidRDefault="007870EF" w:rsidP="007870EF">
      <w:pPr>
        <w:pStyle w:val="NoSpacing"/>
        <w:rPr>
          <w:lang w:val="en-AU"/>
        </w:rPr>
      </w:pPr>
      <w:r w:rsidRPr="00E3754A">
        <w:rPr>
          <w:lang w:val="en-AU"/>
        </w:rPr>
        <w:t xml:space="preserve">As has been signalled throughout this report, there is a critical need for increased research relating to Article 12 and supported decision-making in particular. A major concern in designing and implementing supported decision-making models, arrangements and initiatives is </w:t>
      </w:r>
      <w:r w:rsidR="006F28EB" w:rsidRPr="00E3754A">
        <w:rPr>
          <w:lang w:val="en-AU"/>
        </w:rPr>
        <w:t>the</w:t>
      </w:r>
      <w:r w:rsidRPr="00E3754A">
        <w:rPr>
          <w:lang w:val="en-AU"/>
        </w:rPr>
        <w:t xml:space="preserve"> paucity in empirical research available </w:t>
      </w:r>
      <w:r w:rsidR="006F28EB" w:rsidRPr="00E3754A">
        <w:rPr>
          <w:lang w:val="en-AU"/>
        </w:rPr>
        <w:t>that can be used for</w:t>
      </w:r>
      <w:r w:rsidRPr="00E3754A">
        <w:rPr>
          <w:lang w:val="en-AU"/>
        </w:rPr>
        <w:t xml:space="preserve"> evidence-based approaches in this area (Gooding, 2015). </w:t>
      </w:r>
    </w:p>
    <w:p w14:paraId="2F4D63A2" w14:textId="2EF3A59E" w:rsidR="007870EF" w:rsidRPr="00E3754A" w:rsidRDefault="007870EF" w:rsidP="007870EF">
      <w:pPr>
        <w:pStyle w:val="NoSpacing"/>
        <w:rPr>
          <w:lang w:val="en-AU"/>
        </w:rPr>
      </w:pPr>
      <w:r w:rsidRPr="00E3754A">
        <w:rPr>
          <w:lang w:val="en-AU"/>
        </w:rPr>
        <w:t xml:space="preserve">There is a need for data on what works for the purposes of supported decision-making and addressing obstacles for disabled persons to decision-making (IHC, n.d.; Kohn &amp; Blumenthal, 2014; Lang et al., 2011). This lack of data also leads to a lack of understanding of how and when supported decision-making is utilised (Kohn &amp; Blumenthal, 2014; Kohn et al., 2013). This challenge needs to be overcome because only </w:t>
      </w:r>
      <w:r w:rsidR="00E87C83">
        <w:rPr>
          <w:lang w:val="en-AU"/>
        </w:rPr>
        <w:t>with</w:t>
      </w:r>
      <w:r w:rsidR="00E87C83" w:rsidRPr="00E3754A">
        <w:rPr>
          <w:lang w:val="en-AU"/>
        </w:rPr>
        <w:t xml:space="preserve"> </w:t>
      </w:r>
      <w:r w:rsidRPr="00E3754A">
        <w:rPr>
          <w:lang w:val="en-AU"/>
        </w:rPr>
        <w:t xml:space="preserve">adequate knowledge can </w:t>
      </w:r>
      <w:r w:rsidR="00821E65" w:rsidRPr="00E3754A">
        <w:rPr>
          <w:lang w:val="en-AU"/>
        </w:rPr>
        <w:t xml:space="preserve">jurisdictions, providers, and people </w:t>
      </w:r>
      <w:r w:rsidRPr="00E3754A">
        <w:rPr>
          <w:lang w:val="en-AU"/>
        </w:rPr>
        <w:t>implement the most appropriate methods to support disabled persons in decision-making and subsequently create supported decision-making initiatives (Kohn &amp; Blumenthal, 2014). It is argued that data collection is an obligation at the gover</w:t>
      </w:r>
      <w:r w:rsidR="00882677" w:rsidRPr="00E3754A">
        <w:rPr>
          <w:lang w:val="en-AU"/>
        </w:rPr>
        <w:t>nment level (Lang et al. 2011).</w:t>
      </w:r>
    </w:p>
    <w:tbl>
      <w:tblPr>
        <w:tblStyle w:val="Style1"/>
        <w:tblW w:w="5000" w:type="pct"/>
        <w:tblLook w:val="04A0" w:firstRow="1" w:lastRow="0" w:firstColumn="1" w:lastColumn="0" w:noHBand="0" w:noVBand="1"/>
      </w:tblPr>
      <w:tblGrid>
        <w:gridCol w:w="9236"/>
      </w:tblGrid>
      <w:tr w:rsidR="007870EF" w:rsidRPr="00E3754A" w14:paraId="19721EB0" w14:textId="77777777" w:rsidTr="006F28EB">
        <w:tc>
          <w:tcPr>
            <w:tcW w:w="5000" w:type="pct"/>
          </w:tcPr>
          <w:p w14:paraId="46F3FE5D" w14:textId="28D8AB16" w:rsidR="007870EF" w:rsidRPr="00E3754A" w:rsidRDefault="007870EF" w:rsidP="00965859">
            <w:pPr>
              <w:pStyle w:val="NoSpacing"/>
              <w:rPr>
                <w:lang w:val="en-AU"/>
              </w:rPr>
            </w:pPr>
            <w:r w:rsidRPr="00E3754A">
              <w:rPr>
                <w:lang w:val="en-AU"/>
              </w:rPr>
              <w:t xml:space="preserve">The Swedish National Council for Crime Prevention (BRÅ), </w:t>
            </w:r>
            <w:r w:rsidRPr="00E3754A">
              <w:rPr>
                <w:rStyle w:val="Emphasis"/>
                <w:lang w:val="en-AU"/>
              </w:rPr>
              <w:t>Sweden</w:t>
            </w:r>
            <w:r w:rsidRPr="00E3754A">
              <w:rPr>
                <w:lang w:val="en-AU"/>
              </w:rPr>
              <w:t xml:space="preserve">, is set up to document violence against </w:t>
            </w:r>
            <w:r w:rsidR="00965859" w:rsidRPr="00E3754A">
              <w:rPr>
                <w:lang w:val="en-AU"/>
              </w:rPr>
              <w:t>disabled people</w:t>
            </w:r>
            <w:r w:rsidRPr="00E3754A">
              <w:rPr>
                <w:lang w:val="en-AU"/>
              </w:rPr>
              <w:t xml:space="preserve">, gaps in knowledge, avenues for further research, and </w:t>
            </w:r>
            <w:r w:rsidR="00826C61">
              <w:rPr>
                <w:lang w:val="en-AU"/>
              </w:rPr>
              <w:t xml:space="preserve">as a </w:t>
            </w:r>
            <w:r w:rsidRPr="00E3754A">
              <w:rPr>
                <w:lang w:val="en-AU"/>
              </w:rPr>
              <w:t xml:space="preserve">means of addressing violence against </w:t>
            </w:r>
            <w:r w:rsidR="00965859" w:rsidRPr="00E3754A">
              <w:rPr>
                <w:lang w:val="en-AU"/>
              </w:rPr>
              <w:t>disabled people</w:t>
            </w:r>
            <w:r w:rsidRPr="00E3754A">
              <w:rPr>
                <w:lang w:val="en-AU"/>
              </w:rPr>
              <w:t>. Their 2007 report highlighted issues with invisibility, vulnerability, and dependence. They argue that this knowledge is crucial to understanding the needs and obstacles for persons with disabilities (</w:t>
            </w:r>
            <w:r w:rsidR="00965859" w:rsidRPr="00E3754A">
              <w:rPr>
                <w:lang w:val="en-AU"/>
              </w:rPr>
              <w:t>Government of Sweden, 2012</w:t>
            </w:r>
            <w:r w:rsidRPr="00E3754A">
              <w:rPr>
                <w:lang w:val="en-AU"/>
              </w:rPr>
              <w:t>).</w:t>
            </w:r>
          </w:p>
        </w:tc>
      </w:tr>
      <w:tr w:rsidR="008C1E60" w:rsidRPr="00E3754A" w14:paraId="1B97F6A0" w14:textId="77777777" w:rsidTr="008C1E60">
        <w:tc>
          <w:tcPr>
            <w:tcW w:w="5000" w:type="pct"/>
          </w:tcPr>
          <w:p w14:paraId="4361D793" w14:textId="5D05C0C4" w:rsidR="008C1E60" w:rsidRPr="00E3754A" w:rsidRDefault="008C1E60" w:rsidP="006C1AEB">
            <w:pPr>
              <w:pStyle w:val="NoSpacing"/>
              <w:rPr>
                <w:lang w:val="en-AU"/>
              </w:rPr>
            </w:pPr>
            <w:r w:rsidRPr="00E3754A">
              <w:rPr>
                <w:lang w:val="en-AU"/>
              </w:rPr>
              <w:t xml:space="preserve">Pilot studies have been implemented in </w:t>
            </w:r>
            <w:r w:rsidRPr="00E3754A">
              <w:rPr>
                <w:rStyle w:val="Emphasis"/>
                <w:lang w:val="en-AU"/>
              </w:rPr>
              <w:t>Australia</w:t>
            </w:r>
            <w:r w:rsidRPr="00E3754A">
              <w:rPr>
                <w:lang w:val="en-AU"/>
              </w:rPr>
              <w:t xml:space="preserve"> to gather data on supported decision-making in the jurisdictions</w:t>
            </w:r>
            <w:r w:rsidR="00E87C83">
              <w:rPr>
                <w:lang w:val="en-AU"/>
              </w:rPr>
              <w:t xml:space="preserve"> of</w:t>
            </w:r>
            <w:r w:rsidRPr="00E3754A">
              <w:rPr>
                <w:lang w:val="en-AU"/>
              </w:rPr>
              <w:t>: South Australia, Victoria, and the Australian Capital Territory.</w:t>
            </w:r>
          </w:p>
        </w:tc>
      </w:tr>
    </w:tbl>
    <w:p w14:paraId="0F45240C" w14:textId="3CEFC8EB" w:rsidR="00AF7323" w:rsidRPr="00E3754A" w:rsidRDefault="006F28EB" w:rsidP="00AF7323">
      <w:pPr>
        <w:pStyle w:val="NoSpacing"/>
        <w:rPr>
          <w:lang w:val="en-AU"/>
        </w:rPr>
      </w:pPr>
      <w:r w:rsidRPr="00E3754A">
        <w:rPr>
          <w:lang w:val="en-AU"/>
        </w:rPr>
        <w:t>Monitoring has also been identified as problematic, in particular</w:t>
      </w:r>
      <w:r w:rsidR="00313E0B" w:rsidRPr="00E3754A">
        <w:rPr>
          <w:lang w:val="en-AU"/>
        </w:rPr>
        <w:t>,</w:t>
      </w:r>
      <w:r w:rsidRPr="00E3754A">
        <w:rPr>
          <w:lang w:val="en-AU"/>
        </w:rPr>
        <w:t xml:space="preserve"> policy-practice gaps</w:t>
      </w:r>
      <w:r w:rsidR="00313E0B" w:rsidRPr="00E3754A">
        <w:rPr>
          <w:lang w:val="en-AU"/>
        </w:rPr>
        <w:t xml:space="preserve"> can occur</w:t>
      </w:r>
      <w:r w:rsidRPr="00E3754A">
        <w:rPr>
          <w:lang w:val="en-AU"/>
        </w:rPr>
        <w:t xml:space="preserve"> where inadequate state-based arrangements exist (Lang et al., 2011). States parties need to monitor their processes more effectively and collect statistical data to identify any policy-practice gaps that are inconsistent with the Convention (Kohn &amp; Blumenthal, 2014; Lang et al., 2011;</w:t>
      </w:r>
      <w:r w:rsidR="00BC79D5" w:rsidRPr="00E3754A">
        <w:rPr>
          <w:lang w:val="en-AU"/>
        </w:rPr>
        <w:t xml:space="preserve"> O’Mahony</w:t>
      </w:r>
      <w:r w:rsidR="00882677" w:rsidRPr="00E3754A">
        <w:rPr>
          <w:lang w:val="en-AU"/>
        </w:rPr>
        <w:t xml:space="preserve">, 2012; Umeasiegbu, 2013). There is a need for </w:t>
      </w:r>
      <w:r w:rsidR="00AB35B6">
        <w:rPr>
          <w:lang w:val="en-AU"/>
        </w:rPr>
        <w:t>increased</w:t>
      </w:r>
      <w:r w:rsidR="00AB35B6" w:rsidRPr="00E3754A">
        <w:rPr>
          <w:lang w:val="en-AU"/>
        </w:rPr>
        <w:t xml:space="preserve"> </w:t>
      </w:r>
      <w:r w:rsidR="00882677" w:rsidRPr="00E3754A">
        <w:rPr>
          <w:lang w:val="en-AU"/>
        </w:rPr>
        <w:t>research into safeguards (Dickey, 2016).</w:t>
      </w:r>
    </w:p>
    <w:p w14:paraId="16ADCB23" w14:textId="026C9B14" w:rsidR="007870EF" w:rsidRPr="00E3754A" w:rsidRDefault="007870EF" w:rsidP="002A68C5">
      <w:pPr>
        <w:rPr>
          <w:lang w:val="en-AU"/>
        </w:rPr>
      </w:pPr>
    </w:p>
    <w:p w14:paraId="1B86056A" w14:textId="77777777" w:rsidR="007870EF" w:rsidRPr="00E3754A" w:rsidRDefault="007870EF">
      <w:pPr>
        <w:spacing w:line="240" w:lineRule="auto"/>
        <w:jc w:val="left"/>
        <w:rPr>
          <w:lang w:val="en-AU"/>
        </w:rPr>
      </w:pPr>
      <w:r w:rsidRPr="00E3754A">
        <w:rPr>
          <w:lang w:val="en-AU"/>
        </w:rPr>
        <w:br w:type="page"/>
      </w:r>
    </w:p>
    <w:tbl>
      <w:tblPr>
        <w:tblStyle w:val="Style4"/>
        <w:tblW w:w="5000" w:type="pct"/>
        <w:tblLook w:val="04A0" w:firstRow="1" w:lastRow="0" w:firstColumn="1" w:lastColumn="0" w:noHBand="0" w:noVBand="1"/>
      </w:tblPr>
      <w:tblGrid>
        <w:gridCol w:w="9236"/>
      </w:tblGrid>
      <w:tr w:rsidR="00317C56" w:rsidRPr="00E3754A" w14:paraId="11BB6521" w14:textId="77777777" w:rsidTr="00317C56">
        <w:trPr>
          <w:cnfStyle w:val="100000000000" w:firstRow="1" w:lastRow="0" w:firstColumn="0" w:lastColumn="0" w:oddVBand="0" w:evenVBand="0" w:oddHBand="0" w:evenHBand="0" w:firstRowFirstColumn="0" w:firstRowLastColumn="0" w:lastRowFirstColumn="0" w:lastRowLastColumn="0"/>
        </w:trPr>
        <w:tc>
          <w:tcPr>
            <w:tcW w:w="5000" w:type="pct"/>
          </w:tcPr>
          <w:p w14:paraId="63356047" w14:textId="77777777" w:rsidR="00317C56" w:rsidRPr="00E3754A" w:rsidRDefault="00317C56" w:rsidP="00317C56">
            <w:pPr>
              <w:pStyle w:val="Heading2"/>
              <w:outlineLvl w:val="1"/>
              <w:rPr>
                <w:lang w:val="en-AU"/>
              </w:rPr>
            </w:pPr>
            <w:bookmarkStart w:id="80" w:name="_Toc337970303"/>
            <w:bookmarkStart w:id="81" w:name="_Toc339036869"/>
            <w:r w:rsidRPr="00E3754A">
              <w:rPr>
                <w:lang w:val="en-AU"/>
              </w:rPr>
              <w:t>Summarising key points and issues of contention</w:t>
            </w:r>
            <w:bookmarkEnd w:id="80"/>
            <w:bookmarkEnd w:id="81"/>
            <w:r w:rsidRPr="00E3754A">
              <w:rPr>
                <w:lang w:val="en-AU"/>
              </w:rPr>
              <w:tab/>
            </w:r>
          </w:p>
        </w:tc>
      </w:tr>
    </w:tbl>
    <w:p w14:paraId="6AFDE3CF" w14:textId="180FA50E" w:rsidR="00C10548" w:rsidRPr="00E3754A" w:rsidRDefault="00C10548" w:rsidP="00C10548">
      <w:pPr>
        <w:pStyle w:val="NoSpacing"/>
        <w:rPr>
          <w:lang w:val="en-AU"/>
        </w:rPr>
      </w:pPr>
      <w:r w:rsidRPr="00E3754A">
        <w:rPr>
          <w:lang w:val="en-AU"/>
        </w:rPr>
        <w:t>The review of the literature</w:t>
      </w:r>
      <w:r w:rsidR="0008565A" w:rsidRPr="00E3754A">
        <w:rPr>
          <w:lang w:val="en-AU"/>
        </w:rPr>
        <w:t xml:space="preserve"> </w:t>
      </w:r>
      <w:r w:rsidRPr="00E3754A">
        <w:rPr>
          <w:lang w:val="en-AU"/>
        </w:rPr>
        <w:t>relating to the theory, policy</w:t>
      </w:r>
      <w:r w:rsidR="00F27508">
        <w:rPr>
          <w:lang w:val="en-AU"/>
        </w:rPr>
        <w:t>,</w:t>
      </w:r>
      <w:r w:rsidRPr="00E3754A">
        <w:rPr>
          <w:lang w:val="en-AU"/>
        </w:rPr>
        <w:t xml:space="preserve"> and practice of supported decision-making</w:t>
      </w:r>
      <w:r w:rsidR="00F17B57" w:rsidRPr="00E3754A">
        <w:rPr>
          <w:lang w:val="en-AU"/>
        </w:rPr>
        <w:t xml:space="preserve"> </w:t>
      </w:r>
      <w:r w:rsidRPr="00E3754A">
        <w:rPr>
          <w:lang w:val="en-AU"/>
        </w:rPr>
        <w:t>has thrown up a number of key points and issues of contention. In particular, there are:</w:t>
      </w:r>
    </w:p>
    <w:p w14:paraId="422193F1" w14:textId="77777777" w:rsidR="00C10548" w:rsidRPr="00E3754A" w:rsidRDefault="00C10548" w:rsidP="00177FAC">
      <w:pPr>
        <w:pStyle w:val="NoSpacing"/>
        <w:numPr>
          <w:ilvl w:val="0"/>
          <w:numId w:val="8"/>
        </w:numPr>
        <w:rPr>
          <w:lang w:val="en-AU"/>
        </w:rPr>
      </w:pPr>
      <w:r w:rsidRPr="00E3754A">
        <w:rPr>
          <w:lang w:val="en-AU"/>
        </w:rPr>
        <w:t>Differing opinions about how to theorise supported decision-making for individuals with severe cognitive impairment.</w:t>
      </w:r>
    </w:p>
    <w:p w14:paraId="7E570F92" w14:textId="3164ED16" w:rsidR="00177FAC" w:rsidRPr="00E3754A" w:rsidRDefault="00177FAC" w:rsidP="00177FAC">
      <w:pPr>
        <w:pStyle w:val="NoSpacing"/>
        <w:numPr>
          <w:ilvl w:val="0"/>
          <w:numId w:val="8"/>
        </w:numPr>
        <w:rPr>
          <w:lang w:val="en-AU"/>
        </w:rPr>
      </w:pPr>
      <w:r w:rsidRPr="00E3754A">
        <w:rPr>
          <w:lang w:val="en-AU"/>
        </w:rPr>
        <w:t>Debate</w:t>
      </w:r>
      <w:r w:rsidR="00C10548" w:rsidRPr="00E3754A">
        <w:rPr>
          <w:lang w:val="en-AU"/>
        </w:rPr>
        <w:t>s</w:t>
      </w:r>
      <w:r w:rsidRPr="00E3754A">
        <w:rPr>
          <w:lang w:val="en-AU"/>
        </w:rPr>
        <w:t xml:space="preserve"> </w:t>
      </w:r>
      <w:r w:rsidR="00C10548" w:rsidRPr="00E3754A">
        <w:rPr>
          <w:lang w:val="en-AU"/>
        </w:rPr>
        <w:t>about</w:t>
      </w:r>
      <w:r w:rsidRPr="00E3754A">
        <w:rPr>
          <w:lang w:val="en-AU"/>
        </w:rPr>
        <w:t xml:space="preserve"> how to determine when a disabled person requires assistance with decision-making.</w:t>
      </w:r>
    </w:p>
    <w:p w14:paraId="3676088E" w14:textId="4C57519F" w:rsidR="00796FB8" w:rsidRPr="00E3754A" w:rsidRDefault="007477F4" w:rsidP="00177FAC">
      <w:pPr>
        <w:pStyle w:val="NoSpacing"/>
        <w:numPr>
          <w:ilvl w:val="0"/>
          <w:numId w:val="8"/>
        </w:numPr>
        <w:rPr>
          <w:lang w:val="en-AU"/>
        </w:rPr>
      </w:pPr>
      <w:r w:rsidRPr="00E3754A">
        <w:rPr>
          <w:lang w:val="en-AU"/>
        </w:rPr>
        <w:t>Shared understandings about</w:t>
      </w:r>
      <w:r w:rsidR="00796FB8" w:rsidRPr="00E3754A">
        <w:rPr>
          <w:lang w:val="en-AU"/>
        </w:rPr>
        <w:t xml:space="preserve"> the importance of communication strategies in support, responsiveness to varying methods of communication, and the resulting implications for support resources that need to be made available.</w:t>
      </w:r>
    </w:p>
    <w:p w14:paraId="06DFC7F7" w14:textId="76056227" w:rsidR="00DB61AD" w:rsidRPr="00E3754A" w:rsidRDefault="00DB61AD" w:rsidP="00DB61AD">
      <w:pPr>
        <w:pStyle w:val="NoSpacing"/>
        <w:numPr>
          <w:ilvl w:val="0"/>
          <w:numId w:val="8"/>
        </w:numPr>
        <w:rPr>
          <w:lang w:val="en-AU"/>
        </w:rPr>
      </w:pPr>
      <w:r w:rsidRPr="00E3754A">
        <w:rPr>
          <w:lang w:val="en-AU"/>
        </w:rPr>
        <w:t xml:space="preserve">Gaps concerning the level of resourcing required in practice to embed supported decision-making in the lives of </w:t>
      </w:r>
      <w:r w:rsidRPr="00E3754A">
        <w:rPr>
          <w:i/>
          <w:lang w:val="en-AU"/>
        </w:rPr>
        <w:t xml:space="preserve">all </w:t>
      </w:r>
      <w:r w:rsidRPr="00E3754A">
        <w:rPr>
          <w:lang w:val="en-AU"/>
        </w:rPr>
        <w:t>disabled people, including who should provide and receive such resourcing.</w:t>
      </w:r>
    </w:p>
    <w:p w14:paraId="07E824AF" w14:textId="24942B2D" w:rsidR="00C10548" w:rsidRPr="00E3754A" w:rsidRDefault="00422F00" w:rsidP="00177FAC">
      <w:pPr>
        <w:pStyle w:val="NoSpacing"/>
        <w:numPr>
          <w:ilvl w:val="0"/>
          <w:numId w:val="8"/>
        </w:numPr>
        <w:rPr>
          <w:lang w:val="en-AU"/>
        </w:rPr>
      </w:pPr>
      <w:r w:rsidRPr="00E3754A">
        <w:rPr>
          <w:lang w:val="en-AU"/>
        </w:rPr>
        <w:t xml:space="preserve">Difficulties identified </w:t>
      </w:r>
      <w:r w:rsidR="00C10548" w:rsidRPr="00E3754A">
        <w:rPr>
          <w:lang w:val="en-AU"/>
        </w:rPr>
        <w:t>about manag</w:t>
      </w:r>
      <w:r w:rsidRPr="00E3754A">
        <w:rPr>
          <w:lang w:val="en-AU"/>
        </w:rPr>
        <w:t>ing</w:t>
      </w:r>
      <w:r w:rsidR="00C10548" w:rsidRPr="00E3754A">
        <w:rPr>
          <w:lang w:val="en-AU"/>
        </w:rPr>
        <w:t xml:space="preserve"> situations whereby a person’s will and preferences conflict</w:t>
      </w:r>
      <w:r w:rsidR="00323401" w:rsidRPr="00E3754A">
        <w:rPr>
          <w:lang w:val="en-AU"/>
        </w:rPr>
        <w:t xml:space="preserve"> internally</w:t>
      </w:r>
      <w:r w:rsidR="00C10548" w:rsidRPr="00E3754A">
        <w:rPr>
          <w:lang w:val="en-AU"/>
        </w:rPr>
        <w:t>.</w:t>
      </w:r>
      <w:r w:rsidRPr="00E3754A">
        <w:rPr>
          <w:lang w:val="en-AU"/>
        </w:rPr>
        <w:t xml:space="preserve"> For example, where a person with anorexia holds both a will to live but a preference to not eat (as discussed in </w:t>
      </w:r>
      <w:r w:rsidR="008E6BE6" w:rsidRPr="00E3754A">
        <w:rPr>
          <w:lang w:val="en-AU"/>
        </w:rPr>
        <w:t xml:space="preserve">Arstein-Kerslake &amp; Flynn, 2015; </w:t>
      </w:r>
      <w:r w:rsidRPr="00E3754A">
        <w:rPr>
          <w:lang w:val="en-AU"/>
        </w:rPr>
        <w:t>Series et al., 2014)</w:t>
      </w:r>
      <w:r w:rsidR="008E6BE6" w:rsidRPr="00E3754A">
        <w:rPr>
          <w:lang w:val="en-AU"/>
        </w:rPr>
        <w:t>. This can also be difficult in cases of phobia, addiction, and psychosis (Callaghan &amp; Ryan, 2014).</w:t>
      </w:r>
    </w:p>
    <w:p w14:paraId="66B5423A" w14:textId="235C5168" w:rsidR="00C10548" w:rsidRPr="00E3754A" w:rsidRDefault="00C10548" w:rsidP="00C10548">
      <w:pPr>
        <w:pStyle w:val="NoSpacing"/>
        <w:numPr>
          <w:ilvl w:val="0"/>
          <w:numId w:val="8"/>
        </w:numPr>
        <w:rPr>
          <w:lang w:val="en-AU"/>
        </w:rPr>
      </w:pPr>
      <w:r w:rsidRPr="00E3754A">
        <w:rPr>
          <w:lang w:val="en-AU"/>
        </w:rPr>
        <w:t xml:space="preserve">Differing opinions about how to determine and how to respond when </w:t>
      </w:r>
      <w:r w:rsidR="005305E7" w:rsidRPr="00E3754A">
        <w:rPr>
          <w:lang w:val="en-AU"/>
        </w:rPr>
        <w:t>disabled people and their supporters have conflicting will and preference.</w:t>
      </w:r>
    </w:p>
    <w:p w14:paraId="6CFD4FF8" w14:textId="2B3BD970" w:rsidR="00177FAC" w:rsidRPr="00E3754A" w:rsidRDefault="00F17B57" w:rsidP="00177FAC">
      <w:pPr>
        <w:pStyle w:val="NoSpacing"/>
        <w:numPr>
          <w:ilvl w:val="0"/>
          <w:numId w:val="10"/>
        </w:numPr>
        <w:rPr>
          <w:lang w:val="en-AU"/>
        </w:rPr>
      </w:pPr>
      <w:r w:rsidRPr="00E3754A">
        <w:rPr>
          <w:lang w:val="en-AU"/>
        </w:rPr>
        <w:t>Gaps</w:t>
      </w:r>
      <w:r w:rsidR="00177FAC" w:rsidRPr="00E3754A">
        <w:rPr>
          <w:lang w:val="en-AU"/>
        </w:rPr>
        <w:t xml:space="preserve"> </w:t>
      </w:r>
      <w:r w:rsidRPr="00E3754A">
        <w:rPr>
          <w:lang w:val="en-AU"/>
        </w:rPr>
        <w:t xml:space="preserve">in </w:t>
      </w:r>
      <w:r w:rsidR="00177FAC" w:rsidRPr="00E3754A">
        <w:rPr>
          <w:lang w:val="en-AU"/>
        </w:rPr>
        <w:t>empirical research</w:t>
      </w:r>
      <w:r w:rsidR="00C10548" w:rsidRPr="00E3754A">
        <w:rPr>
          <w:lang w:val="en-AU"/>
        </w:rPr>
        <w:t xml:space="preserve"> to guide and inform legislative change and guide policy</w:t>
      </w:r>
      <w:r w:rsidR="00F27508">
        <w:rPr>
          <w:lang w:val="en-AU"/>
        </w:rPr>
        <w:t>,</w:t>
      </w:r>
      <w:r w:rsidR="00C10548" w:rsidRPr="00E3754A">
        <w:rPr>
          <w:lang w:val="en-AU"/>
        </w:rPr>
        <w:t xml:space="preserve"> and practice</w:t>
      </w:r>
      <w:r w:rsidR="008A3258" w:rsidRPr="00E3754A">
        <w:rPr>
          <w:lang w:val="en-AU"/>
        </w:rPr>
        <w:t xml:space="preserve"> </w:t>
      </w:r>
      <w:r w:rsidR="00C10548" w:rsidRPr="00E3754A">
        <w:rPr>
          <w:lang w:val="en-AU"/>
        </w:rPr>
        <w:t xml:space="preserve">related to supported decision-making. </w:t>
      </w:r>
    </w:p>
    <w:p w14:paraId="5D235497" w14:textId="5974EA4B" w:rsidR="00317C56" w:rsidRPr="00E3754A" w:rsidRDefault="00047BF2" w:rsidP="005305E7">
      <w:pPr>
        <w:pStyle w:val="NoSpacing"/>
        <w:numPr>
          <w:ilvl w:val="0"/>
          <w:numId w:val="10"/>
        </w:numPr>
        <w:rPr>
          <w:lang w:val="en-AU"/>
        </w:rPr>
      </w:pPr>
      <w:r w:rsidRPr="00E3754A">
        <w:rPr>
          <w:lang w:val="en-AU"/>
        </w:rPr>
        <w:t>A n</w:t>
      </w:r>
      <w:r w:rsidR="00F17B57" w:rsidRPr="00E3754A">
        <w:rPr>
          <w:lang w:val="en-AU"/>
        </w:rPr>
        <w:t>eed</w:t>
      </w:r>
      <w:r w:rsidR="00323401" w:rsidRPr="00E3754A">
        <w:rPr>
          <w:lang w:val="en-AU"/>
        </w:rPr>
        <w:t xml:space="preserve"> for well-</w:t>
      </w:r>
      <w:r w:rsidR="005305E7" w:rsidRPr="00E3754A">
        <w:rPr>
          <w:lang w:val="en-AU"/>
        </w:rPr>
        <w:t>considered safeguards for disabled people, and in some cases those individuals</w:t>
      </w:r>
      <w:r w:rsidR="00DB61AD" w:rsidRPr="00E3754A">
        <w:rPr>
          <w:lang w:val="en-AU"/>
        </w:rPr>
        <w:t xml:space="preserve"> who</w:t>
      </w:r>
      <w:r w:rsidR="005305E7" w:rsidRPr="00E3754A">
        <w:rPr>
          <w:lang w:val="en-AU"/>
        </w:rPr>
        <w:t xml:space="preserve"> are acting as supporters.</w:t>
      </w:r>
    </w:p>
    <w:p w14:paraId="286E001D" w14:textId="1F07105C" w:rsidR="005305E7" w:rsidRPr="00E3754A" w:rsidRDefault="005305E7">
      <w:pPr>
        <w:spacing w:line="240" w:lineRule="auto"/>
        <w:jc w:val="left"/>
        <w:rPr>
          <w:lang w:val="en-AU"/>
        </w:rPr>
      </w:pPr>
      <w:r w:rsidRPr="00E3754A">
        <w:rPr>
          <w:lang w:val="en-AU"/>
        </w:rPr>
        <w:br w:type="page"/>
      </w:r>
    </w:p>
    <w:tbl>
      <w:tblPr>
        <w:tblStyle w:val="Style5"/>
        <w:tblW w:w="5000" w:type="pct"/>
        <w:tblLook w:val="04A0" w:firstRow="1" w:lastRow="0" w:firstColumn="1" w:lastColumn="0" w:noHBand="0" w:noVBand="1"/>
      </w:tblPr>
      <w:tblGrid>
        <w:gridCol w:w="9236"/>
      </w:tblGrid>
      <w:tr w:rsidR="00E51C80" w:rsidRPr="00E3754A" w14:paraId="6B13ADEB" w14:textId="77777777" w:rsidTr="005305E7">
        <w:tc>
          <w:tcPr>
            <w:tcW w:w="5000" w:type="pct"/>
          </w:tcPr>
          <w:p w14:paraId="3257BDA8" w14:textId="77777777" w:rsidR="00E51C80" w:rsidRPr="00E3754A" w:rsidRDefault="00E51C80" w:rsidP="002606ED">
            <w:pPr>
              <w:pStyle w:val="Heading1"/>
              <w:rPr>
                <w:lang w:val="en-AU"/>
              </w:rPr>
            </w:pPr>
            <w:bookmarkStart w:id="82" w:name="_Toc334948742"/>
            <w:bookmarkStart w:id="83" w:name="_Toc337970304"/>
            <w:bookmarkStart w:id="84" w:name="_Toc339036870"/>
            <w:r w:rsidRPr="00E3754A">
              <w:rPr>
                <w:lang w:val="en-AU"/>
              </w:rPr>
              <w:t>Key Themes &amp; Future Challenges</w:t>
            </w:r>
            <w:bookmarkEnd w:id="82"/>
            <w:bookmarkEnd w:id="83"/>
            <w:bookmarkEnd w:id="84"/>
          </w:p>
        </w:tc>
      </w:tr>
    </w:tbl>
    <w:p w14:paraId="530DCA29" w14:textId="35061222" w:rsidR="00692078" w:rsidRPr="00E3754A" w:rsidRDefault="00692078" w:rsidP="00EF3F2F">
      <w:pPr>
        <w:pStyle w:val="NoSpacing"/>
        <w:rPr>
          <w:lang w:val="en-AU"/>
        </w:rPr>
      </w:pPr>
      <w:r w:rsidRPr="00E3754A">
        <w:rPr>
          <w:lang w:val="en-AU"/>
        </w:rPr>
        <w:t>This review has been developed around the overarching questions:</w:t>
      </w:r>
    </w:p>
    <w:p w14:paraId="53115DF6" w14:textId="754D248C" w:rsidR="00692078" w:rsidRPr="00E3754A" w:rsidRDefault="007477F4" w:rsidP="007477F4">
      <w:pPr>
        <w:pStyle w:val="Quote"/>
        <w:rPr>
          <w:lang w:val="en-AU"/>
        </w:rPr>
      </w:pPr>
      <w:r w:rsidRPr="00E3754A">
        <w:rPr>
          <w:lang w:val="en-AU"/>
        </w:rPr>
        <w:t xml:space="preserve">1. </w:t>
      </w:r>
      <w:r w:rsidR="00692078" w:rsidRPr="00E3754A">
        <w:rPr>
          <w:lang w:val="en-AU"/>
        </w:rPr>
        <w:t>What can be learned from literature that has been published since 1 January 2010 that examines, discusses and provides cases studies and individual</w:t>
      </w:r>
      <w:r w:rsidR="001A0B0D" w:rsidRPr="00E3754A">
        <w:rPr>
          <w:lang w:val="en-AU"/>
        </w:rPr>
        <w:t>’</w:t>
      </w:r>
      <w:r w:rsidR="00692078" w:rsidRPr="00E3754A">
        <w:rPr>
          <w:lang w:val="en-AU"/>
        </w:rPr>
        <w:t xml:space="preserve">s stories, or reviews/evaluates the practice of disabled people exercising their legal capacity? </w:t>
      </w:r>
    </w:p>
    <w:p w14:paraId="44F2602B" w14:textId="34CE7D2E" w:rsidR="007C24B7" w:rsidRPr="00E3754A" w:rsidRDefault="007477F4" w:rsidP="007477F4">
      <w:pPr>
        <w:pStyle w:val="Quote"/>
        <w:rPr>
          <w:lang w:val="en-AU"/>
        </w:rPr>
      </w:pPr>
      <w:r w:rsidRPr="00E3754A">
        <w:rPr>
          <w:lang w:val="en-AU"/>
        </w:rPr>
        <w:t xml:space="preserve">2. </w:t>
      </w:r>
      <w:r w:rsidR="00692078" w:rsidRPr="00E3754A">
        <w:rPr>
          <w:lang w:val="en-AU"/>
        </w:rPr>
        <w:t xml:space="preserve">What are the trends in the evolution and development of thinking and practice over time of support for disabled people’s exercise of legal capacity, where relevant? </w:t>
      </w:r>
    </w:p>
    <w:p w14:paraId="3B0F8B3B" w14:textId="32115EE0" w:rsidR="007477F4" w:rsidRPr="00E3754A" w:rsidRDefault="00692078" w:rsidP="00EF3F2F">
      <w:pPr>
        <w:pStyle w:val="NoSpacing"/>
        <w:rPr>
          <w:lang w:val="en-AU"/>
        </w:rPr>
      </w:pPr>
      <w:r w:rsidRPr="00E3754A">
        <w:rPr>
          <w:lang w:val="en-AU"/>
        </w:rPr>
        <w:t>It is clear from this review that most Convention commentators agree that the interpretation a</w:t>
      </w:r>
      <w:r w:rsidR="007477F4" w:rsidRPr="00E3754A">
        <w:rPr>
          <w:lang w:val="en-AU"/>
        </w:rPr>
        <w:t>nd implementation of Article 12</w:t>
      </w:r>
      <w:r w:rsidRPr="00E3754A">
        <w:rPr>
          <w:lang w:val="en-AU"/>
        </w:rPr>
        <w:t xml:space="preserve"> is critical to the achievement of the broad intent of the Convention, and expression of all other rights</w:t>
      </w:r>
      <w:r w:rsidR="001A0B0D" w:rsidRPr="00E3754A">
        <w:rPr>
          <w:lang w:val="en-AU"/>
        </w:rPr>
        <w:t>-</w:t>
      </w:r>
      <w:r w:rsidRPr="00E3754A">
        <w:rPr>
          <w:lang w:val="en-AU"/>
        </w:rPr>
        <w:t>based articles contained within it. It is this acknowledgement that underpins the imperative for states parties to commence activity designed to embed Article 12 in legislation, policy</w:t>
      </w:r>
      <w:r w:rsidR="00F27508">
        <w:rPr>
          <w:lang w:val="en-AU"/>
        </w:rPr>
        <w:t>,</w:t>
      </w:r>
      <w:r w:rsidRPr="00E3754A">
        <w:rPr>
          <w:lang w:val="en-AU"/>
        </w:rPr>
        <w:t xml:space="preserve"> and practice</w:t>
      </w:r>
      <w:r w:rsidR="007477F4" w:rsidRPr="00E3754A">
        <w:rPr>
          <w:lang w:val="en-AU"/>
        </w:rPr>
        <w:t xml:space="preserve"> immediately</w:t>
      </w:r>
      <w:r w:rsidRPr="00E3754A">
        <w:rPr>
          <w:lang w:val="en-AU"/>
        </w:rPr>
        <w:t>. Progress has been impeded however, due to polarised and strongly held views about the extent to which the paradigm shift advocated by the Convention and its proponents should be applied in practice. In particular, the proposed move away from substituted decision-making, notions of incapacity (and related diagnostic tests) and the concept of best intere</w:t>
      </w:r>
      <w:r w:rsidR="00323401" w:rsidRPr="00E3754A">
        <w:rPr>
          <w:lang w:val="en-AU"/>
        </w:rPr>
        <w:t xml:space="preserve">sts have been hotly contested. </w:t>
      </w:r>
      <w:r w:rsidRPr="00E3754A">
        <w:rPr>
          <w:lang w:val="en-AU"/>
        </w:rPr>
        <w:t xml:space="preserve">While the </w:t>
      </w:r>
      <w:r w:rsidR="007477F4" w:rsidRPr="00E3754A">
        <w:rPr>
          <w:lang w:val="en-AU"/>
        </w:rPr>
        <w:t xml:space="preserve">Committee on the Rights of Persons with Disabilities (the Committee) </w:t>
      </w:r>
      <w:r w:rsidRPr="00E3754A">
        <w:rPr>
          <w:lang w:val="en-AU"/>
        </w:rPr>
        <w:t xml:space="preserve">has attempted to provide clarity on the interpretation of Article </w:t>
      </w:r>
      <w:r w:rsidR="00323401" w:rsidRPr="00E3754A">
        <w:rPr>
          <w:lang w:val="en-AU"/>
        </w:rPr>
        <w:t>12 through General Comment</w:t>
      </w:r>
      <w:r w:rsidR="00B81B98" w:rsidRPr="00E3754A">
        <w:rPr>
          <w:lang w:val="en-AU"/>
        </w:rPr>
        <w:t xml:space="preserve"> No. 1</w:t>
      </w:r>
      <w:r w:rsidRPr="00E3754A">
        <w:rPr>
          <w:lang w:val="en-AU"/>
        </w:rPr>
        <w:t xml:space="preserve">, </w:t>
      </w:r>
      <w:r w:rsidR="007B6E12" w:rsidRPr="00E3754A">
        <w:rPr>
          <w:lang w:val="en-AU"/>
        </w:rPr>
        <w:t xml:space="preserve">some </w:t>
      </w:r>
      <w:r w:rsidRPr="00E3754A">
        <w:rPr>
          <w:lang w:val="en-AU"/>
        </w:rPr>
        <w:t>Convention commentators continue to promote divergent understandings, and indeed many states parties have proceeded with implementation strategies that only go part of the way toward giving expression to Article 12. It has been common for traditional practices of substituted decision-making, and capacity and best interests</w:t>
      </w:r>
      <w:r w:rsidR="007B6E12" w:rsidRPr="00E3754A">
        <w:rPr>
          <w:lang w:val="en-AU"/>
        </w:rPr>
        <w:t xml:space="preserve"> tests</w:t>
      </w:r>
      <w:r w:rsidRPr="00E3754A">
        <w:rPr>
          <w:lang w:val="en-AU"/>
        </w:rPr>
        <w:t xml:space="preserve"> to retain a place alongside Convention</w:t>
      </w:r>
      <w:r w:rsidR="0030532E" w:rsidRPr="00E3754A">
        <w:rPr>
          <w:lang w:val="en-AU"/>
        </w:rPr>
        <w:t>-</w:t>
      </w:r>
      <w:r w:rsidRPr="00E3754A">
        <w:rPr>
          <w:lang w:val="en-AU"/>
        </w:rPr>
        <w:t xml:space="preserve">inspired revisions to legislation and nomenclature. In short, to date, no states parties </w:t>
      </w:r>
      <w:r w:rsidR="0030532E" w:rsidRPr="00E3754A">
        <w:rPr>
          <w:lang w:val="en-AU"/>
        </w:rPr>
        <w:t xml:space="preserve">have </w:t>
      </w:r>
      <w:r w:rsidRPr="00E3754A">
        <w:rPr>
          <w:lang w:val="en-AU"/>
        </w:rPr>
        <w:t>succeeded in giving full expression to Article 12 of the Convention</w:t>
      </w:r>
      <w:r w:rsidR="007477F4" w:rsidRPr="00E3754A">
        <w:rPr>
          <w:lang w:val="en-AU"/>
        </w:rPr>
        <w:t>,</w:t>
      </w:r>
      <w:r w:rsidRPr="00E3754A">
        <w:rPr>
          <w:lang w:val="en-AU"/>
        </w:rPr>
        <w:t xml:space="preserve"> according to the Committee’s interpretation. </w:t>
      </w:r>
    </w:p>
    <w:p w14:paraId="2ECA74E4" w14:textId="404BFB85" w:rsidR="00692078" w:rsidRPr="00E3754A" w:rsidRDefault="00692078" w:rsidP="00EF3F2F">
      <w:pPr>
        <w:pStyle w:val="NoSpacing"/>
        <w:rPr>
          <w:lang w:val="en-AU"/>
        </w:rPr>
      </w:pPr>
      <w:r w:rsidRPr="00E3754A">
        <w:rPr>
          <w:lang w:val="en-AU"/>
        </w:rPr>
        <w:t xml:space="preserve">In considering the literature in relation to the foundation questions upon which this review </w:t>
      </w:r>
      <w:r w:rsidR="0030532E" w:rsidRPr="00E3754A">
        <w:rPr>
          <w:lang w:val="en-AU"/>
        </w:rPr>
        <w:t>wa</w:t>
      </w:r>
      <w:r w:rsidRPr="00E3754A">
        <w:rPr>
          <w:lang w:val="en-AU"/>
        </w:rPr>
        <w:t>s based, it is reasonable to state that while there is considerable difference in views about how to interpret Article 1</w:t>
      </w:r>
      <w:r w:rsidR="007477F4" w:rsidRPr="00E3754A">
        <w:rPr>
          <w:lang w:val="en-AU"/>
        </w:rPr>
        <w:t>2 and theorise</w:t>
      </w:r>
      <w:r w:rsidRPr="00E3754A">
        <w:rPr>
          <w:lang w:val="en-AU"/>
        </w:rPr>
        <w:t xml:space="preserve"> </w:t>
      </w:r>
      <w:r w:rsidR="007B6E12" w:rsidRPr="00E3754A">
        <w:rPr>
          <w:lang w:val="en-AU"/>
        </w:rPr>
        <w:t xml:space="preserve">the implementation of </w:t>
      </w:r>
      <w:r w:rsidRPr="00E3754A">
        <w:rPr>
          <w:lang w:val="en-AU"/>
        </w:rPr>
        <w:t xml:space="preserve">supported decision-making, there is a reasonable level of consensus about the critical elements of </w:t>
      </w:r>
      <w:r w:rsidR="007B6E12" w:rsidRPr="00E3754A">
        <w:rPr>
          <w:lang w:val="en-AU"/>
        </w:rPr>
        <w:t xml:space="preserve">effective </w:t>
      </w:r>
      <w:r w:rsidRPr="00E3754A">
        <w:rPr>
          <w:lang w:val="en-AU"/>
        </w:rPr>
        <w:t xml:space="preserve">supported decision-making. What is less evident is empirical research that has robustly evaluated supported decision-making initiatives over time. It is also evident that disabled people themselves have not yet had </w:t>
      </w:r>
      <w:r w:rsidR="00C42E2F">
        <w:rPr>
          <w:lang w:val="en-AU"/>
        </w:rPr>
        <w:t>adequate</w:t>
      </w:r>
      <w:r w:rsidR="00C42E2F" w:rsidRPr="00E3754A">
        <w:rPr>
          <w:lang w:val="en-AU"/>
        </w:rPr>
        <w:t xml:space="preserve"> </w:t>
      </w:r>
      <w:r w:rsidRPr="00E3754A">
        <w:rPr>
          <w:lang w:val="en-AU"/>
        </w:rPr>
        <w:t xml:space="preserve">opportunity to be </w:t>
      </w:r>
      <w:r w:rsidR="0030532E" w:rsidRPr="00E3754A">
        <w:rPr>
          <w:lang w:val="en-AU"/>
        </w:rPr>
        <w:t xml:space="preserve">significantly </w:t>
      </w:r>
      <w:r w:rsidRPr="00E3754A">
        <w:rPr>
          <w:lang w:val="en-AU"/>
        </w:rPr>
        <w:t xml:space="preserve">involved in research and evaluation in a manner that has enabled them to reflect on the impact of Article 12 in general, and </w:t>
      </w:r>
      <w:r w:rsidR="007B6E12" w:rsidRPr="00E3754A">
        <w:rPr>
          <w:lang w:val="en-AU"/>
        </w:rPr>
        <w:t xml:space="preserve">their </w:t>
      </w:r>
      <w:r w:rsidRPr="00E3754A">
        <w:rPr>
          <w:lang w:val="en-AU"/>
        </w:rPr>
        <w:t xml:space="preserve">experiences of supported decision-making in particular. For this reason, the voices of disabled people themselves are largely absent from this review. </w:t>
      </w:r>
      <w:r w:rsidR="007477F4" w:rsidRPr="00E3754A">
        <w:rPr>
          <w:lang w:val="en-AU"/>
        </w:rPr>
        <w:t xml:space="preserve">Similarly, embedding Article 12 </w:t>
      </w:r>
      <w:r w:rsidR="007B6E12" w:rsidRPr="00E3754A">
        <w:rPr>
          <w:lang w:val="en-AU"/>
        </w:rPr>
        <w:t>and</w:t>
      </w:r>
      <w:r w:rsidR="007477F4" w:rsidRPr="00E3754A">
        <w:rPr>
          <w:lang w:val="en-AU"/>
        </w:rPr>
        <w:t xml:space="preserve"> supported decision-making in the context of current disability support struc</w:t>
      </w:r>
      <w:r w:rsidR="0081217F" w:rsidRPr="00E3754A">
        <w:rPr>
          <w:lang w:val="en-AU"/>
        </w:rPr>
        <w:t xml:space="preserve">tures and services is yet </w:t>
      </w:r>
      <w:r w:rsidR="00C42E2F" w:rsidRPr="00E3754A">
        <w:rPr>
          <w:lang w:val="en-AU"/>
        </w:rPr>
        <w:t>to</w:t>
      </w:r>
      <w:r w:rsidR="00C42E2F">
        <w:rPr>
          <w:lang w:val="en-AU"/>
        </w:rPr>
        <w:t xml:space="preserve"> </w:t>
      </w:r>
      <w:r w:rsidR="0081217F" w:rsidRPr="00E3754A">
        <w:rPr>
          <w:lang w:val="en-AU"/>
        </w:rPr>
        <w:t xml:space="preserve">comprehensively </w:t>
      </w:r>
      <w:r w:rsidR="00C42E2F">
        <w:rPr>
          <w:lang w:val="en-AU"/>
        </w:rPr>
        <w:t xml:space="preserve">be </w:t>
      </w:r>
      <w:r w:rsidR="0081217F" w:rsidRPr="00E3754A">
        <w:rPr>
          <w:lang w:val="en-AU"/>
        </w:rPr>
        <w:t xml:space="preserve">explored in the literature. </w:t>
      </w:r>
    </w:p>
    <w:p w14:paraId="35860424" w14:textId="5D698EAC" w:rsidR="00692078" w:rsidRPr="00E3754A" w:rsidRDefault="00692078" w:rsidP="00EF3F2F">
      <w:pPr>
        <w:pStyle w:val="NoSpacing"/>
        <w:rPr>
          <w:lang w:val="en-AU"/>
        </w:rPr>
      </w:pPr>
      <w:r w:rsidRPr="00E3754A">
        <w:rPr>
          <w:lang w:val="en-AU"/>
        </w:rPr>
        <w:t>The issues that have been identified throughout this review have highlighted a need for strong consideration of appropriate safeguards for disabled people and those who support them in the context of Article 12 and supported decision-making. The paradigm shift to disabled people having a non-derogable right to legal capaci</w:t>
      </w:r>
      <w:r w:rsidR="007B6E12" w:rsidRPr="00E3754A">
        <w:rPr>
          <w:lang w:val="en-AU"/>
        </w:rPr>
        <w:t>ty, and the associated prioritis</w:t>
      </w:r>
      <w:r w:rsidRPr="00E3754A">
        <w:rPr>
          <w:lang w:val="en-AU"/>
        </w:rPr>
        <w:t>ation of will and preference</w:t>
      </w:r>
      <w:r w:rsidR="0030532E" w:rsidRPr="00E3754A">
        <w:rPr>
          <w:lang w:val="en-AU"/>
        </w:rPr>
        <w:t>,</w:t>
      </w:r>
      <w:r w:rsidRPr="00E3754A">
        <w:rPr>
          <w:lang w:val="en-AU"/>
        </w:rPr>
        <w:t xml:space="preserve"> has been argued </w:t>
      </w:r>
      <w:r w:rsidR="007B6E12" w:rsidRPr="00E3754A">
        <w:rPr>
          <w:lang w:val="en-AU"/>
        </w:rPr>
        <w:t>as exposing</w:t>
      </w:r>
      <w:r w:rsidRPr="00E3754A">
        <w:rPr>
          <w:lang w:val="en-AU"/>
        </w:rPr>
        <w:t xml:space="preserve"> them (and others) to undue risk in some situations. Legislation, policy</w:t>
      </w:r>
      <w:r w:rsidR="004A4FB2" w:rsidRPr="00E3754A">
        <w:rPr>
          <w:lang w:val="en-AU"/>
        </w:rPr>
        <w:t>,</w:t>
      </w:r>
      <w:r w:rsidRPr="00E3754A">
        <w:rPr>
          <w:lang w:val="en-AU"/>
        </w:rPr>
        <w:t xml:space="preserve"> and practice will all have to be amended to mitigate these</w:t>
      </w:r>
      <w:r w:rsidR="00AB35B6">
        <w:rPr>
          <w:lang w:val="en-AU"/>
        </w:rPr>
        <w:t xml:space="preserve"> concerns and potential risks</w:t>
      </w:r>
      <w:r w:rsidRPr="00E3754A">
        <w:rPr>
          <w:lang w:val="en-AU"/>
        </w:rPr>
        <w:t>. It is important to note</w:t>
      </w:r>
      <w:r w:rsidR="0030532E" w:rsidRPr="00E3754A">
        <w:rPr>
          <w:lang w:val="en-AU"/>
        </w:rPr>
        <w:t>,</w:t>
      </w:r>
      <w:r w:rsidRPr="00E3754A">
        <w:rPr>
          <w:lang w:val="en-AU"/>
        </w:rPr>
        <w:t xml:space="preserve"> however, that the traditional paradigm underpinned by notions of incapacity, substituted decision-making</w:t>
      </w:r>
      <w:r w:rsidR="0030532E" w:rsidRPr="00E3754A">
        <w:rPr>
          <w:lang w:val="en-AU"/>
        </w:rPr>
        <w:t>,</w:t>
      </w:r>
      <w:r w:rsidRPr="00E3754A">
        <w:rPr>
          <w:lang w:val="en-AU"/>
        </w:rPr>
        <w:t xml:space="preserve"> and best interests</w:t>
      </w:r>
      <w:r w:rsidR="00947525">
        <w:rPr>
          <w:lang w:val="en-AU"/>
        </w:rPr>
        <w:t xml:space="preserve"> has</w:t>
      </w:r>
      <w:r w:rsidRPr="00E3754A">
        <w:rPr>
          <w:lang w:val="en-AU"/>
        </w:rPr>
        <w:t xml:space="preserve"> also failed to </w:t>
      </w:r>
      <w:r w:rsidR="00047BF2" w:rsidRPr="00E3754A">
        <w:rPr>
          <w:lang w:val="en-AU"/>
        </w:rPr>
        <w:t xml:space="preserve">consistently </w:t>
      </w:r>
      <w:r w:rsidRPr="00E3754A">
        <w:rPr>
          <w:lang w:val="en-AU"/>
        </w:rPr>
        <w:t xml:space="preserve">safeguard disabled people in a range of situations and contexts. </w:t>
      </w:r>
    </w:p>
    <w:p w14:paraId="7159A2E1" w14:textId="472DC319" w:rsidR="00692078" w:rsidRPr="00E3754A" w:rsidRDefault="0081217F" w:rsidP="00EF3F2F">
      <w:pPr>
        <w:pStyle w:val="NoSpacing"/>
        <w:rPr>
          <w:lang w:val="en-AU"/>
        </w:rPr>
      </w:pPr>
      <w:r w:rsidRPr="00E3754A">
        <w:rPr>
          <w:lang w:val="en-AU"/>
        </w:rPr>
        <w:t>In summary, w</w:t>
      </w:r>
      <w:r w:rsidR="00692078" w:rsidRPr="00E3754A">
        <w:rPr>
          <w:lang w:val="en-AU"/>
        </w:rPr>
        <w:t xml:space="preserve">hile this review has provided valuable insight into theoretical and practical aspects related to legal capacity and supported decision-making, it has equally highlighted the difficulties that states parties have experienced with regard to interpreting, and subsequently implementing Article 12 of the Convention. It appears that states parties will continue to be assessed as failing to give expression to the intent of the Convention and </w:t>
      </w:r>
      <w:r w:rsidR="0030532E" w:rsidRPr="00E3754A">
        <w:rPr>
          <w:lang w:val="en-AU"/>
        </w:rPr>
        <w:t xml:space="preserve">to </w:t>
      </w:r>
      <w:r w:rsidR="007B6E12" w:rsidRPr="00E3754A">
        <w:rPr>
          <w:lang w:val="en-AU"/>
        </w:rPr>
        <w:t xml:space="preserve">meet their obligations related to </w:t>
      </w:r>
      <w:r w:rsidR="00692078" w:rsidRPr="00E3754A">
        <w:rPr>
          <w:lang w:val="en-AU"/>
        </w:rPr>
        <w:t xml:space="preserve">Article 12 if they persist in pursuing alternative interpretations to </w:t>
      </w:r>
      <w:r w:rsidR="0030532E" w:rsidRPr="00E3754A">
        <w:rPr>
          <w:lang w:val="en-AU"/>
        </w:rPr>
        <w:t xml:space="preserve">those </w:t>
      </w:r>
      <w:r w:rsidR="00692078" w:rsidRPr="00E3754A">
        <w:rPr>
          <w:lang w:val="en-AU"/>
        </w:rPr>
        <w:t xml:space="preserve">conveyed </w:t>
      </w:r>
      <w:r w:rsidRPr="00E3754A">
        <w:rPr>
          <w:lang w:val="en-AU"/>
        </w:rPr>
        <w:t>by the Committee on the Rights of Persons with Disabilities and the General Comment.</w:t>
      </w:r>
      <w:r w:rsidR="006F7CE1" w:rsidRPr="00E3754A">
        <w:rPr>
          <w:lang w:val="en-AU"/>
        </w:rPr>
        <w:t xml:space="preserve"> </w:t>
      </w:r>
    </w:p>
    <w:p w14:paraId="3180B38B" w14:textId="1482AFEA" w:rsidR="00B44E4D" w:rsidRPr="00E3754A" w:rsidRDefault="00B44E4D">
      <w:pPr>
        <w:spacing w:line="240" w:lineRule="auto"/>
        <w:jc w:val="left"/>
        <w:rPr>
          <w:lang w:val="en-AU"/>
        </w:rPr>
      </w:pPr>
      <w:r w:rsidRPr="00E3754A">
        <w:rPr>
          <w:lang w:val="en-AU"/>
        </w:rPr>
        <w:br w:type="page"/>
      </w:r>
    </w:p>
    <w:tbl>
      <w:tblPr>
        <w:tblStyle w:val="Style5"/>
        <w:tblW w:w="5000" w:type="pct"/>
        <w:tblLook w:val="04A0" w:firstRow="1" w:lastRow="0" w:firstColumn="1" w:lastColumn="0" w:noHBand="0" w:noVBand="1"/>
      </w:tblPr>
      <w:tblGrid>
        <w:gridCol w:w="9236"/>
      </w:tblGrid>
      <w:tr w:rsidR="00B44E4D" w:rsidRPr="00E3754A" w14:paraId="5A6C0C63" w14:textId="77777777" w:rsidTr="005F7610">
        <w:tc>
          <w:tcPr>
            <w:tcW w:w="5000" w:type="pct"/>
          </w:tcPr>
          <w:p w14:paraId="2B4D9579" w14:textId="47F12EFE" w:rsidR="00B44E4D" w:rsidRPr="00E3754A" w:rsidRDefault="00B44E4D" w:rsidP="005F7610">
            <w:pPr>
              <w:pStyle w:val="Heading1"/>
              <w:rPr>
                <w:lang w:val="en-AU"/>
              </w:rPr>
            </w:pPr>
            <w:bookmarkStart w:id="85" w:name="_Toc337970305"/>
            <w:bookmarkStart w:id="86" w:name="_Toc339036871"/>
            <w:r w:rsidRPr="00E3754A">
              <w:rPr>
                <w:lang w:val="en-AU"/>
              </w:rPr>
              <w:t>References</w:t>
            </w:r>
            <w:bookmarkEnd w:id="85"/>
            <w:bookmarkEnd w:id="86"/>
          </w:p>
        </w:tc>
      </w:tr>
    </w:tbl>
    <w:p w14:paraId="29406DF1" w14:textId="5063ACBB" w:rsidR="00880D20" w:rsidRPr="00E3754A" w:rsidRDefault="00B77545" w:rsidP="00880D20">
      <w:pPr>
        <w:pStyle w:val="ListParagraph"/>
        <w:rPr>
          <w:lang w:val="en-AU"/>
        </w:rPr>
      </w:pPr>
      <w:r w:rsidRPr="00E3754A">
        <w:rPr>
          <w:lang w:val="en-AU"/>
        </w:rPr>
        <w:t>Åkerberg, A. (2011). Swedish disability movement’s alternative report to the UN Committee on the Rights of Persons with Disabilities. The Swedish Disability Federation. Retrieved from http://www.fn.se/PageFiles/7184/Alt%20CRPD%202011.pdf</w:t>
      </w:r>
    </w:p>
    <w:p w14:paraId="39BFBD0C" w14:textId="6EA171B6" w:rsidR="001736B3" w:rsidRPr="00E3754A" w:rsidRDefault="001736B3" w:rsidP="00AB685C">
      <w:pPr>
        <w:pStyle w:val="ListParagraph"/>
        <w:rPr>
          <w:lang w:val="en-AU"/>
        </w:rPr>
      </w:pPr>
      <w:r w:rsidRPr="00E3754A">
        <w:rPr>
          <w:lang w:val="en-AU"/>
        </w:rPr>
        <w:t xml:space="preserve">Allen, J., &amp; Tulich, T. (2015). ‘I want to go home now’: Restraint decisions for dementia patients in Western Australia. </w:t>
      </w:r>
      <w:r w:rsidRPr="00E3754A">
        <w:rPr>
          <w:i/>
          <w:lang w:val="en-AU"/>
        </w:rPr>
        <w:t>Law in Context, 33</w:t>
      </w:r>
      <w:r w:rsidRPr="00E3754A">
        <w:rPr>
          <w:lang w:val="en-AU"/>
        </w:rPr>
        <w:t>(2), 1.</w:t>
      </w:r>
      <w:r w:rsidR="006B4480" w:rsidRPr="00E3754A">
        <w:rPr>
          <w:lang w:val="en-AU"/>
        </w:rPr>
        <w:t xml:space="preserve"> Retrieved from http://research-repository.uwa.edu.au/en/persons/tamara-tulich(d9bc868b-0ad7-4876-be56-8de06657e3b5)/publications.html</w:t>
      </w:r>
    </w:p>
    <w:p w14:paraId="65262264" w14:textId="7538036B" w:rsidR="00CC5A31" w:rsidRPr="00E3754A" w:rsidRDefault="00CC5A31" w:rsidP="00AB685C">
      <w:pPr>
        <w:pStyle w:val="ListParagraph"/>
        <w:rPr>
          <w:lang w:val="en-AU"/>
        </w:rPr>
      </w:pPr>
      <w:r w:rsidRPr="00E3754A">
        <w:rPr>
          <w:lang w:val="en-AU"/>
        </w:rPr>
        <w:t>Alzheimer Europe. (2011). Dementia in Europe Yearbook 2011. Retrieved from http://www.alzheimer-europe.org/Publications/Dementia-in-Europe-Yearbooks</w:t>
      </w:r>
    </w:p>
    <w:p w14:paraId="171B5018" w14:textId="41DB1241" w:rsidR="003E3C32" w:rsidRPr="00E3754A" w:rsidRDefault="003E3C32" w:rsidP="003E3C32">
      <w:pPr>
        <w:pStyle w:val="ListParagraph"/>
        <w:rPr>
          <w:lang w:val="en-AU"/>
        </w:rPr>
      </w:pPr>
      <w:r w:rsidRPr="00E3754A">
        <w:rPr>
          <w:lang w:val="en-AU"/>
        </w:rPr>
        <w:t xml:space="preserve">Arstein-Kerslake, A., (2014). </w:t>
      </w:r>
      <w:r w:rsidR="00C06D1A" w:rsidRPr="00E3754A">
        <w:rPr>
          <w:lang w:val="en-AU"/>
        </w:rPr>
        <w:t>Restoring Voice to people: Realizing th Right to Equal Recognition Before the Law of People with Cognitive Disabilities</w:t>
      </w:r>
      <w:r w:rsidRPr="00E3754A">
        <w:rPr>
          <w:lang w:val="en-AU"/>
        </w:rPr>
        <w:t xml:space="preserve">. (Doctoral thesis, </w:t>
      </w:r>
      <w:r w:rsidR="00C06D1A" w:rsidRPr="00E3754A">
        <w:rPr>
          <w:lang w:val="en-AU"/>
        </w:rPr>
        <w:t>National University of Ireland</w:t>
      </w:r>
      <w:r w:rsidRPr="00E3754A">
        <w:rPr>
          <w:lang w:val="en-AU"/>
        </w:rPr>
        <w:t xml:space="preserve">, </w:t>
      </w:r>
      <w:r w:rsidR="00C06D1A" w:rsidRPr="00E3754A">
        <w:rPr>
          <w:lang w:val="en-AU"/>
        </w:rPr>
        <w:t>Galway</w:t>
      </w:r>
      <w:r w:rsidRPr="00E3754A">
        <w:rPr>
          <w:lang w:val="en-AU"/>
        </w:rPr>
        <w:t xml:space="preserve">, </w:t>
      </w:r>
      <w:r w:rsidR="00C06D1A" w:rsidRPr="00E3754A">
        <w:rPr>
          <w:lang w:val="en-AU"/>
        </w:rPr>
        <w:t>Ireland</w:t>
      </w:r>
      <w:r w:rsidRPr="00E3754A">
        <w:rPr>
          <w:lang w:val="en-AU"/>
        </w:rPr>
        <w:t xml:space="preserve">). Retrieved from </w:t>
      </w:r>
      <w:r w:rsidR="00C06D1A" w:rsidRPr="00E3754A">
        <w:rPr>
          <w:lang w:val="en-AU"/>
        </w:rPr>
        <w:t>http://www.thehealthwell.info/search-results/restoring-voice-people-realizing-right-equal-recognition-law-people-cognitive-disabil?&amp;content=resource&amp;member=none&amp;catalogue=none&amp;collection=none&amp;tokens_complete=true</w:t>
      </w:r>
    </w:p>
    <w:p w14:paraId="00B418F6" w14:textId="487A214A" w:rsidR="00350821" w:rsidRPr="00E3754A" w:rsidRDefault="00350821" w:rsidP="00AB685C">
      <w:pPr>
        <w:pStyle w:val="ListParagraph"/>
        <w:rPr>
          <w:lang w:val="en-AU"/>
        </w:rPr>
      </w:pPr>
      <w:r w:rsidRPr="00E3754A">
        <w:rPr>
          <w:lang w:val="en-AU"/>
        </w:rPr>
        <w:t>Arstein-Ker</w:t>
      </w:r>
      <w:r w:rsidR="00D25281" w:rsidRPr="00E3754A">
        <w:rPr>
          <w:lang w:val="en-AU"/>
        </w:rPr>
        <w:t xml:space="preserve">slake, A., &amp; Flynn, E. (2015). </w:t>
      </w:r>
      <w:r w:rsidRPr="00E3754A">
        <w:rPr>
          <w:lang w:val="en-AU"/>
        </w:rPr>
        <w:t>The General Comment on Article 12 of the Convention on the Rights of Persons with Disabilities: A Roadmap</w:t>
      </w:r>
      <w:r w:rsidR="00D25281" w:rsidRPr="00E3754A">
        <w:rPr>
          <w:lang w:val="en-AU"/>
        </w:rPr>
        <w:t xml:space="preserve"> for Equality before the Law.</w:t>
      </w:r>
      <w:r w:rsidRPr="00E3754A">
        <w:rPr>
          <w:lang w:val="en-AU"/>
        </w:rPr>
        <w:t xml:space="preserve"> </w:t>
      </w:r>
      <w:r w:rsidRPr="00E3754A">
        <w:rPr>
          <w:i/>
          <w:lang w:val="en-AU"/>
        </w:rPr>
        <w:t>The International Journal of Human Rights</w:t>
      </w:r>
      <w:r w:rsidRPr="00E3754A">
        <w:rPr>
          <w:lang w:val="en-AU"/>
        </w:rPr>
        <w:t xml:space="preserve">, </w:t>
      </w:r>
      <w:r w:rsidRPr="00E3754A">
        <w:rPr>
          <w:i/>
          <w:lang w:val="en-AU"/>
        </w:rPr>
        <w:t>20</w:t>
      </w:r>
      <w:r w:rsidRPr="00E3754A">
        <w:rPr>
          <w:lang w:val="en-AU"/>
        </w:rPr>
        <w:t>(4)</w:t>
      </w:r>
      <w:r w:rsidR="00DD05AD" w:rsidRPr="00E3754A">
        <w:rPr>
          <w:lang w:val="en-AU"/>
        </w:rPr>
        <w:t>,</w:t>
      </w:r>
      <w:r w:rsidRPr="00E3754A">
        <w:rPr>
          <w:lang w:val="en-AU"/>
        </w:rPr>
        <w:t xml:space="preserve"> 471–90. doi:10.1080/13642987.2015.1107052.</w:t>
      </w:r>
    </w:p>
    <w:p w14:paraId="0EC3A2BE" w14:textId="5F8D3130" w:rsidR="00362BCA" w:rsidRPr="00E3754A" w:rsidRDefault="00362BCA" w:rsidP="00551D3C">
      <w:pPr>
        <w:pStyle w:val="ListParagraph"/>
        <w:rPr>
          <w:lang w:val="en-AU"/>
        </w:rPr>
      </w:pPr>
      <w:r w:rsidRPr="00E3754A">
        <w:rPr>
          <w:lang w:val="en-AU"/>
        </w:rPr>
        <w:t>ASAN Praises Supported Decision-Making Legislation In Delaware. (2016, July 7). Retrieved 18 August 2016, from http://autisticadvocacy.org/2016/07/asan-praises-delaware-bill-that-creates-supported-decision-making-legislation-in-delaware/</w:t>
      </w:r>
    </w:p>
    <w:p w14:paraId="1241F4F4" w14:textId="716D0653" w:rsidR="0078731E" w:rsidRPr="00E3754A" w:rsidRDefault="0078731E" w:rsidP="00551D3C">
      <w:pPr>
        <w:pStyle w:val="ListParagraph"/>
        <w:rPr>
          <w:lang w:val="en-AU"/>
        </w:rPr>
      </w:pPr>
      <w:r w:rsidRPr="00E3754A">
        <w:rPr>
          <w:lang w:val="en-AU"/>
        </w:rPr>
        <w:t>Ashton, G. (2006). Mental Capacity: Law and Practice. Jordans.</w:t>
      </w:r>
    </w:p>
    <w:p w14:paraId="0EF5EED4" w14:textId="31E5F2A6" w:rsidR="005C0F74" w:rsidRPr="00E3754A" w:rsidRDefault="005C0F74" w:rsidP="00551D3C">
      <w:pPr>
        <w:pStyle w:val="ListParagraph"/>
        <w:rPr>
          <w:lang w:val="en-AU"/>
        </w:rPr>
      </w:pPr>
      <w:r w:rsidRPr="00E3754A">
        <w:rPr>
          <w:lang w:val="en-AU"/>
        </w:rPr>
        <w:t>Auckland Disability Law. (n.d.). Let’s talk about Supported Decision Making. Auckland Disability Law. Retrieved from https://www.google.co.nz/url?sa=t&amp;rct=j&amp;q=&amp;esrc=s&amp;source=web&amp;cd=1&amp;cad=rja&amp;uact=8&amp;ved=0ahUKEwiM14Xro5_OAhWFqJQKHUDdA5oQFggaMAA&amp;url=http%3A%2F%2Faucklanddisabilitylaw.org.nz%2Fwp-content%2Fuploads%2Fresources%2FLets%2BTalk%2Babout%2BSupported%2BDecision%2BMaking%2BLeaflet.pdf&amp;usg=AFQjCNHe0fKa9enkjFRRPIY4isuB4L5XHw&amp;sig2=EyPfl3aypZwZsgH2E6XyIA&amp;bvm=bv.128617741,d.dGo</w:t>
      </w:r>
    </w:p>
    <w:p w14:paraId="2AD68F23" w14:textId="6311ABB5" w:rsidR="00551D3C" w:rsidRPr="00E3754A" w:rsidRDefault="00551D3C" w:rsidP="00551D3C">
      <w:pPr>
        <w:pStyle w:val="ListParagraph"/>
        <w:rPr>
          <w:lang w:val="en-AU"/>
        </w:rPr>
      </w:pPr>
      <w:r w:rsidRPr="00E3754A">
        <w:rPr>
          <w:lang w:val="en-AU"/>
        </w:rPr>
        <w:t>Australia’s Initial Report under the Convention on the Rights of Persons with Disabilities</w:t>
      </w:r>
      <w:r w:rsidR="00AD6061" w:rsidRPr="00E3754A">
        <w:rPr>
          <w:lang w:val="en-AU"/>
        </w:rPr>
        <w:t>. (2010)</w:t>
      </w:r>
      <w:r w:rsidRPr="00E3754A">
        <w:rPr>
          <w:lang w:val="en-AU"/>
        </w:rPr>
        <w:t xml:space="preserve">. </w:t>
      </w:r>
      <w:r w:rsidR="00AD6061" w:rsidRPr="00E3754A">
        <w:rPr>
          <w:lang w:val="en-AU"/>
        </w:rPr>
        <w:t xml:space="preserve">Australian Government. </w:t>
      </w:r>
      <w:r w:rsidRPr="00E3754A">
        <w:rPr>
          <w:lang w:val="en-AU"/>
        </w:rPr>
        <w:t>Retrieved from https://www.lawcouncil.asn.au/lawcouncil/images/LCA-PDF/corporate/Australia'sInitialReportundertheConventionontheRightsofPersonswithDisabilities.pdf</w:t>
      </w:r>
    </w:p>
    <w:p w14:paraId="1297DF97" w14:textId="6B359047" w:rsidR="001B4144" w:rsidRPr="00E3754A" w:rsidRDefault="001B4144" w:rsidP="00056697">
      <w:pPr>
        <w:pStyle w:val="ListParagraph"/>
        <w:rPr>
          <w:lang w:val="en-AU"/>
        </w:rPr>
      </w:pPr>
      <w:r w:rsidRPr="00E3754A">
        <w:rPr>
          <w:lang w:val="en-AU"/>
        </w:rPr>
        <w:t xml:space="preserve">Bach, M., &amp; Kerzner, L. (2010). A New Paradigm for Protecting Autonomy and the Right to Legal Capacity. </w:t>
      </w:r>
      <w:r w:rsidR="009D412F" w:rsidRPr="00E3754A">
        <w:rPr>
          <w:lang w:val="en-AU"/>
        </w:rPr>
        <w:t xml:space="preserve">Ontario, Canada: </w:t>
      </w:r>
      <w:r w:rsidRPr="00E3754A">
        <w:rPr>
          <w:lang w:val="en-AU"/>
        </w:rPr>
        <w:t>Law Commission of Ontario. Retrieved from http://www.lco-cdo.org/disabilities/bach-kerzner.pdf</w:t>
      </w:r>
    </w:p>
    <w:p w14:paraId="42A1D5EB" w14:textId="11316D2C" w:rsidR="00056697" w:rsidRPr="00E3754A" w:rsidRDefault="00056697" w:rsidP="00056697">
      <w:pPr>
        <w:pStyle w:val="ListParagraph"/>
        <w:rPr>
          <w:lang w:val="en-AU"/>
        </w:rPr>
      </w:pPr>
      <w:r w:rsidRPr="00E3754A">
        <w:rPr>
          <w:lang w:val="en-AU"/>
        </w:rPr>
        <w:t>Bartlett, P. (2012)</w:t>
      </w:r>
      <w:r w:rsidR="00D25281" w:rsidRPr="00E3754A">
        <w:rPr>
          <w:lang w:val="en-AU"/>
        </w:rPr>
        <w:t xml:space="preserve">. </w:t>
      </w:r>
      <w:r w:rsidRPr="00E3754A">
        <w:rPr>
          <w:lang w:val="en-AU"/>
        </w:rPr>
        <w:t>The United Nations Convention on the Rights of Persons with Disa</w:t>
      </w:r>
      <w:r w:rsidR="00D25281" w:rsidRPr="00E3754A">
        <w:rPr>
          <w:lang w:val="en-AU"/>
        </w:rPr>
        <w:t>bilities and Mental Health Law.</w:t>
      </w:r>
      <w:r w:rsidRPr="00E3754A">
        <w:rPr>
          <w:lang w:val="en-AU"/>
        </w:rPr>
        <w:t xml:space="preserve"> </w:t>
      </w:r>
      <w:r w:rsidRPr="00E3754A">
        <w:rPr>
          <w:i/>
          <w:iCs/>
          <w:lang w:val="en-AU"/>
        </w:rPr>
        <w:t>The Modern Law Review</w:t>
      </w:r>
      <w:r w:rsidR="002104F7" w:rsidRPr="00E3754A">
        <w:rPr>
          <w:i/>
          <w:iCs/>
          <w:lang w:val="en-AU"/>
        </w:rPr>
        <w:t>,</w:t>
      </w:r>
      <w:r w:rsidRPr="00E3754A">
        <w:rPr>
          <w:i/>
          <w:lang w:val="en-AU"/>
        </w:rPr>
        <w:t xml:space="preserve"> 75</w:t>
      </w:r>
      <w:r w:rsidRPr="00E3754A">
        <w:rPr>
          <w:lang w:val="en-AU"/>
        </w:rPr>
        <w:t>(5)</w:t>
      </w:r>
      <w:r w:rsidR="00DD05AD" w:rsidRPr="00E3754A">
        <w:rPr>
          <w:lang w:val="en-AU"/>
        </w:rPr>
        <w:t>,</w:t>
      </w:r>
      <w:r w:rsidRPr="00E3754A">
        <w:rPr>
          <w:lang w:val="en-AU"/>
        </w:rPr>
        <w:t xml:space="preserve"> 752–78. doi:10.1111/j.1468-2230.2012.00923.x.</w:t>
      </w:r>
    </w:p>
    <w:p w14:paraId="14BC544A" w14:textId="5DB33871" w:rsidR="006F6826" w:rsidRPr="00E3754A" w:rsidRDefault="006F6826" w:rsidP="006F6826">
      <w:pPr>
        <w:pStyle w:val="ListParagraph"/>
        <w:rPr>
          <w:lang w:val="en-AU"/>
        </w:rPr>
      </w:pPr>
      <w:r w:rsidRPr="00E3754A">
        <w:rPr>
          <w:lang w:val="en-AU"/>
        </w:rPr>
        <w:t xml:space="preserve">Batchelor, R., Bobrowicz, A., Mackenzie, R., &amp; Milne, A. (2012). Challenges of ethical and legal responsibilities when technologies’ uses and users change: social networking sites, decision-making capacity and dementia. </w:t>
      </w:r>
      <w:r w:rsidRPr="00E3754A">
        <w:rPr>
          <w:i/>
          <w:iCs/>
          <w:lang w:val="en-AU"/>
        </w:rPr>
        <w:t>Ethics and Information Technology</w:t>
      </w:r>
      <w:r w:rsidRPr="00E3754A">
        <w:rPr>
          <w:lang w:val="en-AU"/>
        </w:rPr>
        <w:t xml:space="preserve">, </w:t>
      </w:r>
      <w:r w:rsidRPr="00E3754A">
        <w:rPr>
          <w:i/>
          <w:iCs/>
          <w:lang w:val="en-AU"/>
        </w:rPr>
        <w:t>14</w:t>
      </w:r>
      <w:r w:rsidRPr="00E3754A">
        <w:rPr>
          <w:lang w:val="en-AU"/>
        </w:rPr>
        <w:t>(2), 99–108. http://doi.org/10.1007/s10676-012-9286-x</w:t>
      </w:r>
    </w:p>
    <w:p w14:paraId="27BEC2C7" w14:textId="1AC3FE01" w:rsidR="00137B5B" w:rsidRPr="00E3754A" w:rsidRDefault="00137B5B" w:rsidP="00826D0E">
      <w:pPr>
        <w:pStyle w:val="ListParagraph"/>
        <w:rPr>
          <w:lang w:val="en-AU"/>
        </w:rPr>
      </w:pPr>
      <w:r w:rsidRPr="00E3754A">
        <w:rPr>
          <w:lang w:val="en-AU"/>
        </w:rPr>
        <w:t>Baxter, S., &amp; Carr, H. (2007). Walking the tightrope: the balance between duty of care, human rights and capacity. Housing , care and support, 10(3), 6-11.</w:t>
      </w:r>
    </w:p>
    <w:p w14:paraId="5EFB97F3" w14:textId="77777777" w:rsidR="00826D0E" w:rsidRPr="00E3754A" w:rsidRDefault="00826D0E" w:rsidP="00826D0E">
      <w:pPr>
        <w:pStyle w:val="ListParagraph"/>
        <w:rPr>
          <w:lang w:val="en-AU"/>
        </w:rPr>
      </w:pPr>
      <w:r w:rsidRPr="00E3754A">
        <w:rPr>
          <w:lang w:val="en-AU"/>
        </w:rPr>
        <w:t xml:space="preserve">Beadle-Brown, J. (2015). Supported Decision-making in the United Kingdom: Lessons for Future Success. </w:t>
      </w:r>
      <w:r w:rsidRPr="00E3754A">
        <w:rPr>
          <w:i/>
          <w:iCs/>
          <w:lang w:val="en-AU"/>
        </w:rPr>
        <w:t>Research and Practice in Intellectual and Developmental Disabilities</w:t>
      </w:r>
      <w:r w:rsidRPr="00E3754A">
        <w:rPr>
          <w:lang w:val="en-AU"/>
        </w:rPr>
        <w:t xml:space="preserve">, </w:t>
      </w:r>
      <w:r w:rsidRPr="00E3754A">
        <w:rPr>
          <w:i/>
          <w:iCs/>
          <w:lang w:val="en-AU"/>
        </w:rPr>
        <w:t>2</w:t>
      </w:r>
      <w:r w:rsidRPr="00E3754A">
        <w:rPr>
          <w:lang w:val="en-AU"/>
        </w:rPr>
        <w:t>(1), 17–28. http://doi.org/10.1080/23297018.2015.1040995</w:t>
      </w:r>
    </w:p>
    <w:p w14:paraId="0C400C4C" w14:textId="3B149379" w:rsidR="0057758A" w:rsidRPr="00E3754A" w:rsidRDefault="005464FB" w:rsidP="0057758A">
      <w:pPr>
        <w:pStyle w:val="ListParagraph"/>
        <w:rPr>
          <w:lang w:val="en-AU"/>
        </w:rPr>
      </w:pPr>
      <w:r w:rsidRPr="00E3754A">
        <w:rPr>
          <w:lang w:val="en-AU"/>
        </w:rPr>
        <w:t xml:space="preserve">Browning, M., Bigby, C., &amp; Douglas, J. (2014). Supported Decision Making: Understanding How its Conceptual Link to Legal Capacity is Influencing the Development of Practice. </w:t>
      </w:r>
      <w:r w:rsidRPr="00E3754A">
        <w:rPr>
          <w:i/>
          <w:lang w:val="en-AU"/>
        </w:rPr>
        <w:t>Research and Practice in Intellectual and Developmental Disabilities</w:t>
      </w:r>
      <w:r w:rsidRPr="00E3754A">
        <w:rPr>
          <w:lang w:val="en-AU"/>
        </w:rPr>
        <w:t xml:space="preserve">, </w:t>
      </w:r>
      <w:r w:rsidRPr="00E3754A">
        <w:rPr>
          <w:i/>
          <w:lang w:val="en-AU"/>
        </w:rPr>
        <w:t>1</w:t>
      </w:r>
      <w:r w:rsidRPr="00E3754A">
        <w:rPr>
          <w:lang w:val="en-AU"/>
        </w:rPr>
        <w:t>(1), 34–45. http://doi.org/10.1080/23297018.2014.902726</w:t>
      </w:r>
    </w:p>
    <w:p w14:paraId="094254A5" w14:textId="77777777" w:rsidR="007472F6" w:rsidRPr="00E3754A" w:rsidRDefault="007472F6" w:rsidP="007472F6">
      <w:pPr>
        <w:pStyle w:val="ListParagraph"/>
        <w:rPr>
          <w:lang w:val="en-AU"/>
        </w:rPr>
      </w:pPr>
      <w:r w:rsidRPr="00E3754A">
        <w:rPr>
          <w:lang w:val="en-AU"/>
        </w:rPr>
        <w:t xml:space="preserve">Burgen, B. (2016). Reflections on the Victorian Office of the Public Advocate supported decision-making pilot project. </w:t>
      </w:r>
      <w:r w:rsidRPr="00E3754A">
        <w:rPr>
          <w:i/>
          <w:iCs/>
          <w:lang w:val="en-AU"/>
        </w:rPr>
        <w:t>Research and Practice in Intellectual and Developmental Disabilities</w:t>
      </w:r>
      <w:r w:rsidRPr="00E3754A">
        <w:rPr>
          <w:lang w:val="en-AU"/>
        </w:rPr>
        <w:t>, 1–17. http://doi.org/10.1080/23297018.2016.1199969</w:t>
      </w:r>
    </w:p>
    <w:p w14:paraId="3D34BFB0" w14:textId="41A26C40" w:rsidR="00DF2C23" w:rsidRPr="00E3754A" w:rsidRDefault="0057758A" w:rsidP="00DF2C23">
      <w:pPr>
        <w:pStyle w:val="ListParagraph"/>
        <w:rPr>
          <w:lang w:val="en-AU"/>
        </w:rPr>
      </w:pPr>
      <w:r w:rsidRPr="00E3754A">
        <w:rPr>
          <w:lang w:val="en-AU"/>
        </w:rPr>
        <w:t>Byrnes, A., Conte, A., Gonnot,</w:t>
      </w:r>
      <w:r w:rsidR="006F7CE1" w:rsidRPr="00E3754A">
        <w:rPr>
          <w:lang w:val="en-AU"/>
        </w:rPr>
        <w:t xml:space="preserve"> </w:t>
      </w:r>
      <w:r w:rsidRPr="00E3754A">
        <w:rPr>
          <w:lang w:val="en-AU"/>
        </w:rPr>
        <w:t>ean-P., Larsson, L., Schindlmayr, T., Shepherd, N., Walker, S., &amp; Zarraluqui, A. (2007). From Exclusion to Equality Realizing the rights of persons with disabilities. Handbook for Parliamentarians on the Convention on the Rights of Persons with Disabilities and its Optional Protocol. (United Nations, Ed.). Geneva, Switzerland: United Nations.</w:t>
      </w:r>
    </w:p>
    <w:p w14:paraId="49ED716E" w14:textId="10DBD6FA" w:rsidR="008D4351" w:rsidRPr="00E3754A" w:rsidRDefault="008D4351" w:rsidP="00AB685C">
      <w:pPr>
        <w:pStyle w:val="ListParagraph"/>
        <w:rPr>
          <w:lang w:val="en-AU"/>
        </w:rPr>
      </w:pPr>
      <w:r w:rsidRPr="00E3754A">
        <w:rPr>
          <w:lang w:val="en-AU"/>
        </w:rPr>
        <w:t>Carlin, C. (2016, Spring). Mindroom 2020 Vision. About Advocacy: The Scottish Independent Advocacy Alliance Magazine.</w:t>
      </w:r>
    </w:p>
    <w:p w14:paraId="7C1FE190" w14:textId="358AB359" w:rsidR="00272DFD" w:rsidRPr="00E3754A" w:rsidRDefault="00272DFD" w:rsidP="00C60DDF">
      <w:pPr>
        <w:pStyle w:val="ListParagraph"/>
        <w:rPr>
          <w:lang w:val="en-AU"/>
        </w:rPr>
      </w:pPr>
      <w:r w:rsidRPr="00E3754A">
        <w:rPr>
          <w:lang w:val="en-AU"/>
        </w:rPr>
        <w:t xml:space="preserve">Carney, T. (2010). Involuntary Mental Health Treatment Laws: the ‘Rights’ and the Wrongs of Competing Models? </w:t>
      </w:r>
      <w:r w:rsidRPr="00E3754A">
        <w:rPr>
          <w:i/>
          <w:iCs/>
          <w:lang w:val="en-AU"/>
        </w:rPr>
        <w:t>Sydney Law School Research Paper, 10</w:t>
      </w:r>
      <w:r w:rsidRPr="00E3754A">
        <w:rPr>
          <w:lang w:val="en-AU"/>
        </w:rPr>
        <w:t>(94), 257–274.</w:t>
      </w:r>
    </w:p>
    <w:p w14:paraId="27B2F6FA" w14:textId="573588A4" w:rsidR="00C60DDF" w:rsidRPr="00E3754A" w:rsidRDefault="00C60DDF" w:rsidP="00C60DDF">
      <w:pPr>
        <w:pStyle w:val="ListParagraph"/>
        <w:rPr>
          <w:lang w:val="en-AU"/>
        </w:rPr>
      </w:pPr>
      <w:r w:rsidRPr="00E3754A">
        <w:rPr>
          <w:lang w:val="en-AU"/>
        </w:rPr>
        <w:t xml:space="preserve">Carney, T. (2013). Participation and service access rights for people with intellectual disability: a role for law? </w:t>
      </w:r>
      <w:r w:rsidRPr="00E3754A">
        <w:rPr>
          <w:i/>
          <w:lang w:val="en-AU"/>
        </w:rPr>
        <w:t>Journal of Intellectual &amp; Developmental Disability, 38</w:t>
      </w:r>
      <w:r w:rsidRPr="00E3754A">
        <w:rPr>
          <w:lang w:val="en-AU"/>
        </w:rPr>
        <w:t>(1), 59-69. doi: 10.3109/13668250.2012.738810</w:t>
      </w:r>
    </w:p>
    <w:p w14:paraId="5C6E10C9" w14:textId="553C7131" w:rsidR="00D25281" w:rsidRPr="00E3754A" w:rsidRDefault="00D25281" w:rsidP="00AB685C">
      <w:pPr>
        <w:pStyle w:val="ListParagraph"/>
        <w:rPr>
          <w:lang w:val="en-AU"/>
        </w:rPr>
      </w:pPr>
      <w:r w:rsidRPr="00E3754A">
        <w:rPr>
          <w:lang w:val="en-AU"/>
        </w:rPr>
        <w:t>Carney, T. (2015</w:t>
      </w:r>
      <w:r w:rsidR="000A5D75" w:rsidRPr="00E3754A">
        <w:rPr>
          <w:lang w:val="en-AU"/>
        </w:rPr>
        <w:t>a</w:t>
      </w:r>
      <w:r w:rsidRPr="00E3754A">
        <w:rPr>
          <w:lang w:val="en-AU"/>
        </w:rPr>
        <w:t xml:space="preserve">). Supporting People with Cognitive Disabilities with Decision-making: Any Australian Law Reform Contributions? </w:t>
      </w:r>
      <w:r w:rsidRPr="00E3754A">
        <w:rPr>
          <w:i/>
          <w:lang w:val="en-AU"/>
        </w:rPr>
        <w:t>Research and Practice in Intellectual and Developmental Disabilities, 2</w:t>
      </w:r>
      <w:r w:rsidRPr="00E3754A">
        <w:rPr>
          <w:lang w:val="en-AU"/>
        </w:rPr>
        <w:t>(1), 6–16. http://doi.org/10.1080/23297018.2015.1020852</w:t>
      </w:r>
    </w:p>
    <w:p w14:paraId="1F1EB1CF" w14:textId="466C63CC" w:rsidR="00FA08A7" w:rsidRPr="00E3754A" w:rsidRDefault="00FA08A7" w:rsidP="00AB685C">
      <w:pPr>
        <w:pStyle w:val="ListParagraph"/>
        <w:rPr>
          <w:lang w:val="en-AU"/>
        </w:rPr>
      </w:pPr>
      <w:r w:rsidRPr="00E3754A">
        <w:rPr>
          <w:lang w:val="en-AU"/>
        </w:rPr>
        <w:t>Carney, T. (2015b). Searching for workable alternatives to guardianship for vulnerable populations?</w:t>
      </w:r>
      <w:r w:rsidRPr="00E3754A">
        <w:rPr>
          <w:i/>
          <w:lang w:val="en-AU"/>
        </w:rPr>
        <w:t xml:space="preserve"> Ethics, Medicine and Public Health, 1</w:t>
      </w:r>
      <w:r w:rsidRPr="00E3754A">
        <w:rPr>
          <w:lang w:val="en-AU"/>
        </w:rPr>
        <w:t>, 113–119.</w:t>
      </w:r>
    </w:p>
    <w:p w14:paraId="472C3AF5" w14:textId="3EC52890" w:rsidR="00C60DDF" w:rsidRPr="00E3754A" w:rsidRDefault="00C60DDF" w:rsidP="00C60DDF">
      <w:pPr>
        <w:pStyle w:val="ListParagraph"/>
        <w:rPr>
          <w:lang w:val="en-AU"/>
        </w:rPr>
      </w:pPr>
      <w:r w:rsidRPr="00E3754A">
        <w:rPr>
          <w:lang w:val="en-AU"/>
        </w:rPr>
        <w:t xml:space="preserve">Carney, T., &amp; Beaupert, F. (2013). Public and Private Bricolage—Challenges balancing law, services &amp; civil society in advancing CRPD supported decision making. </w:t>
      </w:r>
      <w:r w:rsidRPr="00E3754A">
        <w:rPr>
          <w:i/>
          <w:lang w:val="en-AU"/>
        </w:rPr>
        <w:t>The University of New South Wales Law Journal, 36</w:t>
      </w:r>
      <w:r w:rsidRPr="00E3754A">
        <w:rPr>
          <w:lang w:val="en-AU"/>
        </w:rPr>
        <w:t>(1), 175–201.</w:t>
      </w:r>
    </w:p>
    <w:p w14:paraId="7A294712" w14:textId="027F2AFC" w:rsidR="00A7102E" w:rsidRPr="00E3754A" w:rsidRDefault="00A7102E" w:rsidP="00AB685C">
      <w:pPr>
        <w:pStyle w:val="ListParagraph"/>
        <w:rPr>
          <w:lang w:val="en-AU"/>
        </w:rPr>
      </w:pPr>
      <w:r w:rsidRPr="00E3754A">
        <w:rPr>
          <w:lang w:val="en-AU"/>
        </w:rPr>
        <w:t xml:space="preserve">Callaghan, S. M., &amp; Ryan, C. (2014). Is There a Future for Involuntary Treatment in Rights-based Mental Health Law? </w:t>
      </w:r>
      <w:r w:rsidRPr="00E3754A">
        <w:rPr>
          <w:i/>
          <w:lang w:val="en-AU"/>
        </w:rPr>
        <w:t>Psychiatry, Psychology and Law, 21</w:t>
      </w:r>
      <w:r w:rsidRPr="00E3754A">
        <w:rPr>
          <w:lang w:val="en-AU"/>
        </w:rPr>
        <w:t>(5), 747–766. http://doi.org/10.1080/13218719.2014.949606</w:t>
      </w:r>
    </w:p>
    <w:p w14:paraId="2595C823" w14:textId="5D91096D" w:rsidR="00580A4B" w:rsidRPr="00E3754A" w:rsidRDefault="00580A4B" w:rsidP="00AB685C">
      <w:pPr>
        <w:pStyle w:val="ListParagraph"/>
        <w:rPr>
          <w:lang w:val="en-AU"/>
        </w:rPr>
      </w:pPr>
      <w:r w:rsidRPr="00E3754A">
        <w:rPr>
          <w:lang w:val="en-AU"/>
        </w:rPr>
        <w:t xml:space="preserve">Committee on the Rights of Persons with Disabilities (2013). “Committee on the Rights of Persons with Disabilities: Concluding Observations, Australia.” </w:t>
      </w:r>
      <w:r w:rsidR="00A40881" w:rsidRPr="00E3754A">
        <w:rPr>
          <w:lang w:val="en-AU"/>
        </w:rPr>
        <w:t>Geneva, Switzerland: Author</w:t>
      </w:r>
      <w:r w:rsidRPr="00E3754A">
        <w:rPr>
          <w:lang w:val="en-AU"/>
        </w:rPr>
        <w:t>.</w:t>
      </w:r>
    </w:p>
    <w:p w14:paraId="38429334" w14:textId="444BF74D" w:rsidR="00E431F7" w:rsidRPr="00E3754A" w:rsidRDefault="00E431F7" w:rsidP="00AB685C">
      <w:pPr>
        <w:pStyle w:val="ListParagraph"/>
        <w:rPr>
          <w:lang w:val="en-AU"/>
        </w:rPr>
      </w:pPr>
      <w:r w:rsidRPr="00E3754A">
        <w:rPr>
          <w:lang w:val="en-AU"/>
        </w:rPr>
        <w:t xml:space="preserve">Committee on the Rights of Persons with Disabilities (2014a). “Committee on the Rights of Persons with Disabilities: Concluding Observations, Denmark.” </w:t>
      </w:r>
      <w:r w:rsidR="00A40881" w:rsidRPr="00E3754A">
        <w:rPr>
          <w:lang w:val="en-AU"/>
        </w:rPr>
        <w:t>Geneva, Switzerland: Author</w:t>
      </w:r>
      <w:r w:rsidRPr="00E3754A">
        <w:rPr>
          <w:lang w:val="en-AU"/>
        </w:rPr>
        <w:t>.</w:t>
      </w:r>
    </w:p>
    <w:p w14:paraId="087A72D1" w14:textId="0DBA3A42" w:rsidR="00E431F7" w:rsidRPr="00E3754A" w:rsidRDefault="00E431F7" w:rsidP="00AB685C">
      <w:pPr>
        <w:pStyle w:val="ListParagraph"/>
        <w:rPr>
          <w:lang w:val="en-AU"/>
        </w:rPr>
      </w:pPr>
      <w:r w:rsidRPr="00E3754A">
        <w:rPr>
          <w:lang w:val="en-AU"/>
        </w:rPr>
        <w:t xml:space="preserve">Committee on the Rights of Persons with Disabilities (2014b). “Committee on the Rights of Persons with Disabilities: Concluding Observations, New Zealand.” </w:t>
      </w:r>
      <w:r w:rsidR="00A40881" w:rsidRPr="00E3754A">
        <w:rPr>
          <w:lang w:val="en-AU"/>
        </w:rPr>
        <w:t>Geneva, Switzerland: Author</w:t>
      </w:r>
      <w:r w:rsidRPr="00E3754A">
        <w:rPr>
          <w:lang w:val="en-AU"/>
        </w:rPr>
        <w:t>.</w:t>
      </w:r>
    </w:p>
    <w:p w14:paraId="76F6791D" w14:textId="57679192" w:rsidR="00580A4B" w:rsidRPr="00E3754A" w:rsidRDefault="00580A4B" w:rsidP="00AB685C">
      <w:pPr>
        <w:pStyle w:val="ListParagraph"/>
        <w:rPr>
          <w:lang w:val="en-AU"/>
        </w:rPr>
      </w:pPr>
      <w:r w:rsidRPr="00E3754A">
        <w:rPr>
          <w:lang w:val="en-AU"/>
        </w:rPr>
        <w:t>Committee on the Rights of Persons with Disabilities (2014</w:t>
      </w:r>
      <w:r w:rsidR="00E431F7" w:rsidRPr="00E3754A">
        <w:rPr>
          <w:lang w:val="en-AU"/>
        </w:rPr>
        <w:t>c</w:t>
      </w:r>
      <w:r w:rsidRPr="00E3754A">
        <w:rPr>
          <w:lang w:val="en-AU"/>
        </w:rPr>
        <w:t xml:space="preserve">). “Committee on the Rights of Persons with Disabilities: Concluding Observations, Sweden.” </w:t>
      </w:r>
      <w:r w:rsidR="00A40881" w:rsidRPr="00E3754A">
        <w:rPr>
          <w:lang w:val="en-AU"/>
        </w:rPr>
        <w:t>Geneva, Switzerland: Author</w:t>
      </w:r>
      <w:r w:rsidRPr="00E3754A">
        <w:rPr>
          <w:lang w:val="en-AU"/>
        </w:rPr>
        <w:t>.</w:t>
      </w:r>
    </w:p>
    <w:p w14:paraId="03117564" w14:textId="350C92F2" w:rsidR="007E2D7B" w:rsidRPr="00E3754A" w:rsidRDefault="00580A4B" w:rsidP="00AB685C">
      <w:pPr>
        <w:pStyle w:val="ListParagraph"/>
        <w:rPr>
          <w:lang w:val="en-AU"/>
        </w:rPr>
      </w:pPr>
      <w:r w:rsidRPr="00E3754A">
        <w:rPr>
          <w:lang w:val="en-AU"/>
        </w:rPr>
        <w:t>Committee on the Rights of Persons with Disabilities (2014</w:t>
      </w:r>
      <w:r w:rsidR="00E431F7" w:rsidRPr="00E3754A">
        <w:rPr>
          <w:lang w:val="en-AU"/>
        </w:rPr>
        <w:t>d</w:t>
      </w:r>
      <w:r w:rsidRPr="00E3754A">
        <w:rPr>
          <w:lang w:val="en-AU"/>
        </w:rPr>
        <w:t xml:space="preserve">). “Committee on the Rights of Persons with Disabilities: List of Issues, New Zealand.” </w:t>
      </w:r>
      <w:r w:rsidR="00A40881" w:rsidRPr="00E3754A">
        <w:rPr>
          <w:lang w:val="en-AU"/>
        </w:rPr>
        <w:t>Geneva, Switzerland: Author</w:t>
      </w:r>
      <w:r w:rsidRPr="00E3754A">
        <w:rPr>
          <w:lang w:val="en-AU"/>
        </w:rPr>
        <w:t>.</w:t>
      </w:r>
    </w:p>
    <w:p w14:paraId="03113E41" w14:textId="1768735B" w:rsidR="00E40DBA" w:rsidRPr="00E3754A" w:rsidRDefault="00E40DBA" w:rsidP="00DF02AE">
      <w:pPr>
        <w:pStyle w:val="ListParagraph"/>
        <w:rPr>
          <w:lang w:val="en-AU"/>
        </w:rPr>
      </w:pPr>
      <w:r w:rsidRPr="00E3754A">
        <w:rPr>
          <w:lang w:val="en-AU"/>
        </w:rPr>
        <w:t xml:space="preserve">Ciavano, N. (2014). Conceptualizing capacity: interpreting Canada’s qualified ratification of Article 12 of the UN Disability Rights Convention. </w:t>
      </w:r>
      <w:r w:rsidRPr="00E3754A">
        <w:rPr>
          <w:i/>
          <w:lang w:val="en-AU"/>
        </w:rPr>
        <w:t>Western Journal of Legal Studies</w:t>
      </w:r>
      <w:r w:rsidRPr="00E3754A">
        <w:rPr>
          <w:lang w:val="en-AU"/>
        </w:rPr>
        <w:t>, 4(1). Retrieved from http://ir.lib.uwo.ca/uwojls/</w:t>
      </w:r>
    </w:p>
    <w:p w14:paraId="4EC7D00A" w14:textId="3CDF2261" w:rsidR="00D26942" w:rsidRPr="00E3754A" w:rsidRDefault="00D26942" w:rsidP="00DF02AE">
      <w:pPr>
        <w:pStyle w:val="ListParagraph"/>
        <w:rPr>
          <w:lang w:val="en-AU"/>
        </w:rPr>
      </w:pPr>
      <w:r w:rsidRPr="00E3754A">
        <w:rPr>
          <w:lang w:val="en-AU"/>
        </w:rPr>
        <w:t xml:space="preserve">Craigie, J. (2015). A Fine Balance: Reconsidering Patient Autonomy in Light of the UN Convention on the Rights of Persons with Disabilities: A Fine Balance: Reconsidering Patient Autonomy. </w:t>
      </w:r>
      <w:r w:rsidRPr="00E3754A">
        <w:rPr>
          <w:i/>
          <w:lang w:val="en-AU"/>
        </w:rPr>
        <w:t>Bioethics</w:t>
      </w:r>
      <w:r w:rsidRPr="00E3754A">
        <w:rPr>
          <w:lang w:val="en-AU"/>
        </w:rPr>
        <w:t>, 29(6), 398–405. http://doi.org/10.1111/bioe.12133</w:t>
      </w:r>
    </w:p>
    <w:p w14:paraId="4BC30037" w14:textId="0F1FA8BF" w:rsidR="00EC03C2" w:rsidRPr="00E3754A" w:rsidRDefault="00EE0CE1" w:rsidP="00EE0CE1">
      <w:pPr>
        <w:pStyle w:val="ListParagraph"/>
        <w:rPr>
          <w:lang w:val="en-AU"/>
        </w:rPr>
      </w:pPr>
      <w:r w:rsidRPr="00E3754A">
        <w:rPr>
          <w:lang w:val="en-AU"/>
        </w:rPr>
        <w:t>Darvell, A. (2016, April). Managing for Supported Decision Making. Powerpoint presented at the The Conversation:</w:t>
      </w:r>
      <w:r w:rsidR="006F7CE1" w:rsidRPr="00E3754A">
        <w:rPr>
          <w:lang w:val="en-AU"/>
        </w:rPr>
        <w:t xml:space="preserve"> </w:t>
      </w:r>
      <w:r w:rsidRPr="00E3754A">
        <w:rPr>
          <w:lang w:val="en-AU"/>
        </w:rPr>
        <w:t>Supported Decision Making Hui, Waipuna Hotel, Mt Wellington, Auckland. Retrieved from http://aucklanddisabilitylaw.org.nz/supported-decision-making-home/supported-decision-making-presentations/</w:t>
      </w:r>
    </w:p>
    <w:p w14:paraId="2E0FC70A" w14:textId="0B2930B9" w:rsidR="00EE0CE1" w:rsidRPr="00E3754A" w:rsidRDefault="00EE0CE1" w:rsidP="00DF02AE">
      <w:pPr>
        <w:pStyle w:val="ListParagraph"/>
        <w:rPr>
          <w:lang w:val="en-AU"/>
        </w:rPr>
      </w:pPr>
      <w:r w:rsidRPr="00E3754A">
        <w:rPr>
          <w:lang w:val="en-AU"/>
        </w:rPr>
        <w:t xml:space="preserve">Davidson, G., Brophy, L., Campbell, J., Farrell, S. J., Gooding, P., &amp; O’Brien, A.-M. (2016). An international comparison of legal frameworks for supported and substitute decision-making in mental health services. </w:t>
      </w:r>
      <w:r w:rsidRPr="00E3754A">
        <w:rPr>
          <w:i/>
          <w:lang w:val="en-AU"/>
        </w:rPr>
        <w:t>International Journal of Law and Psychiatry, 44</w:t>
      </w:r>
      <w:r w:rsidRPr="00E3754A">
        <w:rPr>
          <w:lang w:val="en-AU"/>
        </w:rPr>
        <w:t>, 30–40. http://doi.org/10.1016/j.ijlp.2015.08.029</w:t>
      </w:r>
    </w:p>
    <w:p w14:paraId="0E5C5A83" w14:textId="1617DB0F" w:rsidR="007B5301" w:rsidRPr="00E3754A" w:rsidRDefault="007B5301" w:rsidP="00DF02AE">
      <w:pPr>
        <w:pStyle w:val="ListParagraph"/>
        <w:rPr>
          <w:lang w:val="en-AU"/>
        </w:rPr>
      </w:pPr>
      <w:r w:rsidRPr="00E3754A">
        <w:rPr>
          <w:lang w:val="en-AU"/>
        </w:rPr>
        <w:t xml:space="preserve">Dawson, J. (2015). A realistic approach to assessing mental health laws’ compliance with the UNCRPD. </w:t>
      </w:r>
      <w:r w:rsidRPr="00E3754A">
        <w:rPr>
          <w:i/>
          <w:lang w:val="en-AU"/>
        </w:rPr>
        <w:t>International Journal on Law and Psychiatry, 40</w:t>
      </w:r>
      <w:r w:rsidRPr="00E3754A">
        <w:rPr>
          <w:lang w:val="en-AU"/>
        </w:rPr>
        <w:t>, 70–79. http://doi.org/10.1016/j.ijlp.2015.04.003</w:t>
      </w:r>
    </w:p>
    <w:p w14:paraId="10C70B35" w14:textId="42C2638F" w:rsidR="006F1342" w:rsidRPr="00E3754A" w:rsidRDefault="006F1342" w:rsidP="00DF02AE">
      <w:pPr>
        <w:pStyle w:val="ListParagraph"/>
        <w:rPr>
          <w:lang w:val="en-AU"/>
        </w:rPr>
      </w:pPr>
      <w:r w:rsidRPr="00E3754A">
        <w:rPr>
          <w:lang w:val="en-AU"/>
        </w:rPr>
        <w:t>Department of Health. (2014). The Mental Health Bill 2014. An explanatory guide. State of Victoria. Retrieved from www.health.vic.gov.au/mentalhealth/mhactreform</w:t>
      </w:r>
    </w:p>
    <w:p w14:paraId="12EC1174" w14:textId="6545FE8A" w:rsidR="00EC03C2" w:rsidRPr="00E3754A" w:rsidRDefault="00EC03C2" w:rsidP="00DF02AE">
      <w:pPr>
        <w:pStyle w:val="ListParagraph"/>
        <w:rPr>
          <w:lang w:val="en-AU"/>
        </w:rPr>
      </w:pPr>
      <w:r w:rsidRPr="00E3754A">
        <w:rPr>
          <w:lang w:val="en-AU"/>
        </w:rPr>
        <w:t xml:space="preserve">Devi, N., Bickenbacha, J., &amp; Stucki, G. (2011). Moving towards substituted or supported decision-making? Article 12 of the Convention on the Rights of Persons with Disabilities. </w:t>
      </w:r>
      <w:r w:rsidRPr="00E3754A">
        <w:rPr>
          <w:i/>
          <w:lang w:val="en-AU"/>
        </w:rPr>
        <w:t>ALTER European Journal of Disability Research, 5</w:t>
      </w:r>
      <w:r w:rsidRPr="00E3754A">
        <w:rPr>
          <w:lang w:val="en-AU"/>
        </w:rPr>
        <w:t>(4), 249–264. http://doi.org/10.1016/j.alter.2011.07.002</w:t>
      </w:r>
    </w:p>
    <w:p w14:paraId="3FF78BE4" w14:textId="4C92929F" w:rsidR="00EE0CE1" w:rsidRPr="00E3754A" w:rsidRDefault="00EC03C2" w:rsidP="00EE0CE1">
      <w:pPr>
        <w:pStyle w:val="ListParagraph"/>
        <w:rPr>
          <w:lang w:val="en-AU"/>
        </w:rPr>
      </w:pPr>
      <w:r w:rsidRPr="00E3754A">
        <w:rPr>
          <w:lang w:val="en-AU"/>
        </w:rPr>
        <w:t xml:space="preserve">Devi, N. (2013). Supported decision-making and personal autonomy for persons with intellectual disabilities: article 12 of the UN Convention on the Rights of Persons with Disabilities. </w:t>
      </w:r>
      <w:r w:rsidRPr="00E3754A">
        <w:rPr>
          <w:i/>
          <w:lang w:val="en-AU"/>
        </w:rPr>
        <w:t>Journal of Law, Medicine &amp; Ethics</w:t>
      </w:r>
      <w:r w:rsidRPr="00E3754A">
        <w:rPr>
          <w:lang w:val="en-AU"/>
        </w:rPr>
        <w:t>, 41(4).</w:t>
      </w:r>
    </w:p>
    <w:p w14:paraId="3C4FE9AD" w14:textId="4C996487" w:rsidR="00DF02AE" w:rsidRPr="00E3754A" w:rsidRDefault="00DF02AE" w:rsidP="00DF02AE">
      <w:pPr>
        <w:pStyle w:val="ListParagraph"/>
        <w:rPr>
          <w:lang w:val="en-AU"/>
        </w:rPr>
      </w:pPr>
      <w:r w:rsidRPr="00E3754A">
        <w:rPr>
          <w:lang w:val="en-AU"/>
        </w:rPr>
        <w:t xml:space="preserve">Dickey, P. (2016). </w:t>
      </w:r>
      <w:r w:rsidRPr="00E3754A">
        <w:rPr>
          <w:i/>
          <w:lang w:val="en-AU"/>
        </w:rPr>
        <w:t>Equal Recognition before the Law: Balancing Autonomy and Protection in Support for the Exercise of Legal Capacity</w:t>
      </w:r>
      <w:r w:rsidR="005F2E93" w:rsidRPr="00E3754A">
        <w:rPr>
          <w:lang w:val="en-AU"/>
        </w:rPr>
        <w:t>. Powerpoint presented at the The Conversation:</w:t>
      </w:r>
      <w:r w:rsidR="006F7CE1" w:rsidRPr="00E3754A">
        <w:rPr>
          <w:lang w:val="en-AU"/>
        </w:rPr>
        <w:t xml:space="preserve"> </w:t>
      </w:r>
      <w:r w:rsidR="005F2E93" w:rsidRPr="00E3754A">
        <w:rPr>
          <w:lang w:val="en-AU"/>
        </w:rPr>
        <w:t xml:space="preserve">Supported Decision Making Hui, Waipuna Hotel, Mt Wellington, Auckland. </w:t>
      </w:r>
      <w:r w:rsidR="004278E1" w:rsidRPr="00E3754A">
        <w:rPr>
          <w:lang w:val="en-AU"/>
        </w:rPr>
        <w:t>Retrieved from</w:t>
      </w:r>
      <w:r w:rsidRPr="00E3754A">
        <w:rPr>
          <w:lang w:val="en-AU"/>
        </w:rPr>
        <w:t xml:space="preserve"> </w:t>
      </w:r>
      <w:r w:rsidR="00E30CE1" w:rsidRPr="00E3754A">
        <w:rPr>
          <w:lang w:val="en-AU"/>
        </w:rPr>
        <w:t>http://aucklanddisabilitylaw.org.nz/wp-content/uploads/presentations/Paul+Dickey+ODI+Presentation.ppt</w:t>
      </w:r>
    </w:p>
    <w:p w14:paraId="21C0BF7E" w14:textId="5A9FB101" w:rsidR="00DA1E0D" w:rsidRPr="00E3754A" w:rsidRDefault="003E3C32" w:rsidP="00AB685C">
      <w:pPr>
        <w:pStyle w:val="ListParagraph"/>
        <w:rPr>
          <w:lang w:val="en-AU"/>
        </w:rPr>
      </w:pPr>
      <w:r w:rsidRPr="00E3754A">
        <w:rPr>
          <w:lang w:val="en-AU"/>
        </w:rPr>
        <w:t>Dinerstein, R. D. (2012</w:t>
      </w:r>
      <w:r w:rsidR="00DA1E0D" w:rsidRPr="00E3754A">
        <w:rPr>
          <w:lang w:val="en-AU"/>
        </w:rPr>
        <w:t xml:space="preserve">). Implementing legal capacity under Article 12 of the UN Convention on the Rights of Persons with Disabilities: the difficult road from guardianship to supported decision-making. </w:t>
      </w:r>
      <w:r w:rsidRPr="00E3754A">
        <w:rPr>
          <w:i/>
          <w:lang w:val="en-AU"/>
        </w:rPr>
        <w:t>Human</w:t>
      </w:r>
      <w:r w:rsidR="00DA1E0D" w:rsidRPr="00E3754A">
        <w:rPr>
          <w:i/>
          <w:lang w:val="en-AU"/>
        </w:rPr>
        <w:t xml:space="preserve"> R</w:t>
      </w:r>
      <w:r w:rsidRPr="00E3754A">
        <w:rPr>
          <w:i/>
          <w:lang w:val="en-AU"/>
        </w:rPr>
        <w:t xml:space="preserve">ights </w:t>
      </w:r>
      <w:r w:rsidR="00DA1E0D" w:rsidRPr="00E3754A">
        <w:rPr>
          <w:i/>
          <w:lang w:val="en-AU"/>
        </w:rPr>
        <w:t>Brief, 19</w:t>
      </w:r>
      <w:r w:rsidRPr="00E3754A">
        <w:rPr>
          <w:lang w:val="en-AU"/>
        </w:rPr>
        <w:t>(2), 8-12.</w:t>
      </w:r>
    </w:p>
    <w:p w14:paraId="5B8E5925" w14:textId="0DE3A098" w:rsidR="00646A36" w:rsidRPr="00E3754A" w:rsidRDefault="00646A36" w:rsidP="00AB685C">
      <w:pPr>
        <w:pStyle w:val="ListParagraph"/>
        <w:rPr>
          <w:lang w:val="en-AU"/>
        </w:rPr>
      </w:pPr>
      <w:r w:rsidRPr="00E3754A">
        <w:rPr>
          <w:lang w:val="en-AU"/>
        </w:rPr>
        <w:t>Disabled Person’s Organisations. (2014, July 31). New Zealand Disabled Person’s Organisations Report. Disabled Person’s Organisations. Retrieved from http://www.dpa.org.nz/resources/sector-resources/the-united-nations-convention-on-rights-of-persons-with-disabilities/dpo-shadow-report</w:t>
      </w:r>
    </w:p>
    <w:p w14:paraId="1469FB93" w14:textId="48516D6A" w:rsidR="00676FA9" w:rsidRPr="00E3754A" w:rsidRDefault="00676FA9" w:rsidP="00AB685C">
      <w:pPr>
        <w:pStyle w:val="ListParagraph"/>
        <w:rPr>
          <w:lang w:val="en-AU"/>
        </w:rPr>
      </w:pPr>
      <w:r w:rsidRPr="00E3754A">
        <w:rPr>
          <w:lang w:val="en-AU"/>
        </w:rPr>
        <w:t xml:space="preserve">Dorozenko, K., Bishop, B. J., Roberts, L. D. (2016). Fumblings and faux pas: Reflections on attempting to engage in participatory research with people with an intellectual disability. </w:t>
      </w:r>
      <w:r w:rsidRPr="00E3754A">
        <w:rPr>
          <w:i/>
          <w:lang w:val="en-AU"/>
        </w:rPr>
        <w:t>Journal of Intellectual and Developmental Disability, 41</w:t>
      </w:r>
      <w:r w:rsidRPr="00E3754A">
        <w:rPr>
          <w:lang w:val="en-AU"/>
        </w:rPr>
        <w:t xml:space="preserve">(3): 197-208. </w:t>
      </w:r>
    </w:p>
    <w:p w14:paraId="1AE669A3" w14:textId="72B160DD" w:rsidR="00880D20" w:rsidRPr="00E3754A" w:rsidRDefault="00880D20" w:rsidP="00AB685C">
      <w:pPr>
        <w:pStyle w:val="ListParagraph"/>
        <w:rPr>
          <w:lang w:val="en-AU"/>
        </w:rPr>
      </w:pPr>
      <w:r w:rsidRPr="00E3754A">
        <w:rPr>
          <w:lang w:val="en-AU"/>
        </w:rPr>
        <w:t xml:space="preserve">Douglass, A. (2016). Mental Capacity, Updating </w:t>
      </w:r>
      <w:r w:rsidR="001022B7" w:rsidRPr="00E3754A">
        <w:rPr>
          <w:lang w:val="en-AU"/>
        </w:rPr>
        <w:t>New Zealand’s Law and Practice.</w:t>
      </w:r>
      <w:r w:rsidR="00ED7FD8" w:rsidRPr="00E3754A">
        <w:rPr>
          <w:lang w:val="en-AU"/>
        </w:rPr>
        <w:t xml:space="preserve"> New Zealand Law Foundation. Retrieved from www.lawfoundation.org.nz</w:t>
      </w:r>
    </w:p>
    <w:p w14:paraId="692CF9E9" w14:textId="2FCA545E" w:rsidR="00BE5E8F" w:rsidRDefault="00BE5E8F" w:rsidP="00AB685C">
      <w:pPr>
        <w:pStyle w:val="ListParagraph"/>
        <w:rPr>
          <w:lang w:val="en-AU"/>
        </w:rPr>
      </w:pPr>
      <w:r>
        <w:rPr>
          <w:lang w:val="en-AU"/>
        </w:rPr>
        <w:t xml:space="preserve">Douglass, A., Young, G., </w:t>
      </w:r>
      <w:r w:rsidRPr="002665E6">
        <w:rPr>
          <w:lang w:val="en-AU"/>
        </w:rPr>
        <w:t xml:space="preserve">McMillan, J. (2016). </w:t>
      </w:r>
      <w:r w:rsidRPr="004D6933">
        <w:rPr>
          <w:lang w:val="en-AU"/>
        </w:rPr>
        <w:t>Toolkit for Assessing Capacity.</w:t>
      </w:r>
      <w:r w:rsidR="002665E6" w:rsidRPr="004D6933">
        <w:rPr>
          <w:lang w:val="en-AU"/>
        </w:rPr>
        <w:t xml:space="preserve"> </w:t>
      </w:r>
      <w:r w:rsidRPr="005A3B7D">
        <w:rPr>
          <w:lang w:val="en-AU"/>
        </w:rPr>
        <w:t>Retrieved</w:t>
      </w:r>
      <w:r>
        <w:rPr>
          <w:lang w:val="en-AU"/>
        </w:rPr>
        <w:t xml:space="preserve"> from </w:t>
      </w:r>
      <w:r w:rsidRPr="00BE5E8F">
        <w:rPr>
          <w:lang w:val="en-AU"/>
        </w:rPr>
        <w:t>http://www.alisondouglass.co.nz/</w:t>
      </w:r>
    </w:p>
    <w:p w14:paraId="10650259" w14:textId="09244AA1" w:rsidR="000102BE" w:rsidRPr="00E3754A" w:rsidRDefault="000102BE" w:rsidP="00AB685C">
      <w:pPr>
        <w:pStyle w:val="ListParagraph"/>
        <w:rPr>
          <w:lang w:val="en-AU"/>
        </w:rPr>
      </w:pPr>
      <w:r w:rsidRPr="00E3754A">
        <w:rPr>
          <w:lang w:val="en-AU"/>
        </w:rPr>
        <w:t xml:space="preserve">Doyle, S., &amp; Flynn, E. (2013). Ireland’s ratification of the UN convention on the rights of persons with disabilities: challenges and opportunities. </w:t>
      </w:r>
      <w:r w:rsidRPr="00E3754A">
        <w:rPr>
          <w:i/>
          <w:lang w:val="en-AU"/>
        </w:rPr>
        <w:t>British Journal of Learning Disabilities, 41</w:t>
      </w:r>
      <w:r w:rsidRPr="00E3754A">
        <w:rPr>
          <w:lang w:val="en-AU"/>
        </w:rPr>
        <w:t>(3), 171–180. http://doi.org/10.1111/bld.12050</w:t>
      </w:r>
    </w:p>
    <w:p w14:paraId="3C6CE856" w14:textId="5E4EBF2E" w:rsidR="00750E09" w:rsidRPr="00E3754A" w:rsidRDefault="00750E09" w:rsidP="00750E09">
      <w:pPr>
        <w:pStyle w:val="ListParagraph"/>
        <w:rPr>
          <w:lang w:val="en-AU"/>
        </w:rPr>
      </w:pPr>
      <w:r w:rsidRPr="00E3754A">
        <w:rPr>
          <w:lang w:val="en-AU"/>
        </w:rPr>
        <w:t xml:space="preserve">Dunn, M. C., Clare, I. C. H., &amp; Holland, A. J. (2008). Substitute Decision-Making for Adults with Intellectual Disabilities Living in Residential Care: Learning Through Experience. </w:t>
      </w:r>
      <w:r w:rsidRPr="00E3754A">
        <w:rPr>
          <w:i/>
          <w:iCs/>
          <w:lang w:val="en-AU"/>
        </w:rPr>
        <w:t>Health Care Analysis</w:t>
      </w:r>
      <w:r w:rsidRPr="00E3754A">
        <w:rPr>
          <w:lang w:val="en-AU"/>
        </w:rPr>
        <w:t xml:space="preserve">, </w:t>
      </w:r>
      <w:r w:rsidRPr="00E3754A">
        <w:rPr>
          <w:i/>
          <w:iCs/>
          <w:lang w:val="en-AU"/>
        </w:rPr>
        <w:t>16</w:t>
      </w:r>
      <w:r w:rsidRPr="00E3754A">
        <w:rPr>
          <w:lang w:val="en-AU"/>
        </w:rPr>
        <w:t>(1), 52–64. http://doi.org/10.1007/s10728-007-0053-9</w:t>
      </w:r>
    </w:p>
    <w:p w14:paraId="738A01E9" w14:textId="5CF464F8" w:rsidR="00512B6B" w:rsidRPr="00E3754A" w:rsidRDefault="00512B6B" w:rsidP="00AB685C">
      <w:pPr>
        <w:pStyle w:val="ListParagraph"/>
        <w:rPr>
          <w:lang w:val="en-AU"/>
        </w:rPr>
      </w:pPr>
      <w:r w:rsidRPr="00E3754A">
        <w:rPr>
          <w:lang w:val="en-AU"/>
        </w:rPr>
        <w:t xml:space="preserve">Durand, M.-A., Carpenter, L., Dolan, H., Bravo, P., Mann, M., Bunn, F., &amp; Elwyn, G. (2014). Do Interventions Designed to Support Shared Decision-Making Reduce Health Inequalities? A Systematic Review and Meta-Analysis. </w:t>
      </w:r>
      <w:r w:rsidRPr="00E3754A">
        <w:rPr>
          <w:i/>
          <w:lang w:val="en-AU"/>
        </w:rPr>
        <w:t>PLoS ONE</w:t>
      </w:r>
      <w:r w:rsidRPr="00E3754A">
        <w:rPr>
          <w:lang w:val="en-AU"/>
        </w:rPr>
        <w:t xml:space="preserve">, </w:t>
      </w:r>
      <w:r w:rsidRPr="00E3754A">
        <w:rPr>
          <w:i/>
          <w:lang w:val="en-AU"/>
        </w:rPr>
        <w:t>9</w:t>
      </w:r>
      <w:r w:rsidRPr="00E3754A">
        <w:rPr>
          <w:lang w:val="en-AU"/>
        </w:rPr>
        <w:t>(4), e94670. http://doi.org/10.1371/journal.pone.0094670</w:t>
      </w:r>
    </w:p>
    <w:p w14:paraId="1B3C0663" w14:textId="603BC895" w:rsidR="009D6880" w:rsidRPr="00E3754A" w:rsidRDefault="009D6880" w:rsidP="00AB685C">
      <w:pPr>
        <w:pStyle w:val="ListParagraph"/>
        <w:rPr>
          <w:lang w:val="en-AU"/>
        </w:rPr>
      </w:pPr>
      <w:r w:rsidRPr="00E3754A">
        <w:rPr>
          <w:lang w:val="en-AU"/>
        </w:rPr>
        <w:t xml:space="preserve">Enabling Good Lives. (n.d.). A Toolbox for Enabling Good Lives and Choice in Community Living. </w:t>
      </w:r>
      <w:r w:rsidR="001022B7" w:rsidRPr="00E3754A">
        <w:rPr>
          <w:lang w:val="en-AU"/>
        </w:rPr>
        <w:t>Author</w:t>
      </w:r>
      <w:r w:rsidRPr="00E3754A">
        <w:rPr>
          <w:lang w:val="en-AU"/>
        </w:rPr>
        <w:t>. Retrieved from http://www.enablinggoodlives.co.nz/about-egl/resources/provider-resources/enabling-good-lives-toolbox/</w:t>
      </w:r>
    </w:p>
    <w:p w14:paraId="67A34186" w14:textId="277FFD16" w:rsidR="00B5109A" w:rsidRPr="00E3754A" w:rsidRDefault="00B5109A" w:rsidP="00AB685C">
      <w:pPr>
        <w:pStyle w:val="ListParagraph"/>
        <w:rPr>
          <w:lang w:val="en-AU"/>
        </w:rPr>
      </w:pPr>
      <w:r w:rsidRPr="00E3754A">
        <w:rPr>
          <w:lang w:val="en-AU"/>
        </w:rPr>
        <w:t>Flynn, E., &amp; Arstein-Kerslake, A. (2014). Legislating Personhood: Realising the Right to Suppor</w:t>
      </w:r>
      <w:r w:rsidR="00D25281" w:rsidRPr="00E3754A">
        <w:rPr>
          <w:lang w:val="en-AU"/>
        </w:rPr>
        <w:t>t in Exercising Legal Capacity.</w:t>
      </w:r>
      <w:r w:rsidRPr="00E3754A">
        <w:rPr>
          <w:lang w:val="en-AU"/>
        </w:rPr>
        <w:t xml:space="preserve"> </w:t>
      </w:r>
      <w:r w:rsidRPr="00E3754A">
        <w:rPr>
          <w:i/>
          <w:lang w:val="en-AU"/>
        </w:rPr>
        <w:t>International Journal of Law in Context</w:t>
      </w:r>
      <w:r w:rsidRPr="00E3754A">
        <w:rPr>
          <w:lang w:val="en-AU"/>
        </w:rPr>
        <w:t xml:space="preserve">, </w:t>
      </w:r>
      <w:r w:rsidRPr="00E3754A">
        <w:rPr>
          <w:i/>
          <w:lang w:val="en-AU"/>
        </w:rPr>
        <w:t>10</w:t>
      </w:r>
      <w:r w:rsidRPr="00E3754A">
        <w:rPr>
          <w:lang w:val="en-AU"/>
        </w:rPr>
        <w:t>(1)</w:t>
      </w:r>
      <w:r w:rsidR="00DD05AD" w:rsidRPr="00E3754A">
        <w:rPr>
          <w:lang w:val="en-AU"/>
        </w:rPr>
        <w:t>,</w:t>
      </w:r>
      <w:r w:rsidRPr="00E3754A">
        <w:rPr>
          <w:lang w:val="en-AU"/>
        </w:rPr>
        <w:t xml:space="preserve"> 81–104. doi:10.1017/S1744552313000384.</w:t>
      </w:r>
    </w:p>
    <w:p w14:paraId="4CD83DAA" w14:textId="4B185F0A" w:rsidR="00081D83" w:rsidRPr="00E3754A" w:rsidRDefault="00081D83" w:rsidP="00AB685C">
      <w:pPr>
        <w:pStyle w:val="ListParagraph"/>
        <w:rPr>
          <w:lang w:val="en-AU"/>
        </w:rPr>
      </w:pPr>
      <w:r w:rsidRPr="00E3754A">
        <w:rPr>
          <w:lang w:val="en-AU"/>
        </w:rPr>
        <w:t xml:space="preserve">Glen, K. B. (2013). The Challenge: The CRPD and the Right to Legal Capacity. </w:t>
      </w:r>
      <w:r w:rsidRPr="00E3754A">
        <w:rPr>
          <w:i/>
          <w:lang w:val="en-AU"/>
        </w:rPr>
        <w:t>International Law News</w:t>
      </w:r>
      <w:r w:rsidRPr="00E3754A">
        <w:rPr>
          <w:lang w:val="en-AU"/>
        </w:rPr>
        <w:t xml:space="preserve">, </w:t>
      </w:r>
      <w:r w:rsidRPr="00E3754A">
        <w:rPr>
          <w:i/>
          <w:lang w:val="en-AU"/>
        </w:rPr>
        <w:t>42</w:t>
      </w:r>
      <w:r w:rsidRPr="00E3754A">
        <w:rPr>
          <w:lang w:val="en-AU"/>
        </w:rPr>
        <w:t>(2). Retrieved from http://www.americanbar.org/publications/international_law_news/2013/spring/challenge_crpd_right_legal_capacity.html</w:t>
      </w:r>
    </w:p>
    <w:p w14:paraId="2C3B9C73" w14:textId="649E3BEB" w:rsidR="007B5301" w:rsidRPr="00E3754A" w:rsidRDefault="007B5301" w:rsidP="00AB685C">
      <w:pPr>
        <w:pStyle w:val="ListParagraph"/>
        <w:rPr>
          <w:lang w:val="en-AU"/>
        </w:rPr>
      </w:pPr>
      <w:r w:rsidRPr="00E3754A">
        <w:rPr>
          <w:lang w:val="en-AU"/>
        </w:rPr>
        <w:t xml:space="preserve">Gooding, P. (2013). Supported Decision-Making: A Rights-Based Disability Concept and its Implications for Mental Health Law. </w:t>
      </w:r>
      <w:r w:rsidRPr="00E3754A">
        <w:rPr>
          <w:i/>
          <w:lang w:val="en-AU"/>
        </w:rPr>
        <w:t>Psychiatry, Psychology and Law</w:t>
      </w:r>
      <w:r w:rsidRPr="00E3754A">
        <w:rPr>
          <w:lang w:val="en-AU"/>
        </w:rPr>
        <w:t xml:space="preserve">, </w:t>
      </w:r>
      <w:r w:rsidRPr="00E3754A">
        <w:rPr>
          <w:i/>
          <w:lang w:val="en-AU"/>
        </w:rPr>
        <w:t>20</w:t>
      </w:r>
      <w:r w:rsidRPr="00E3754A">
        <w:rPr>
          <w:lang w:val="en-AU"/>
        </w:rPr>
        <w:t>(3), 431–451. http://doi.org/10.1080/13218719.2012.711683</w:t>
      </w:r>
    </w:p>
    <w:p w14:paraId="7ABC03EA" w14:textId="19EE71A1" w:rsidR="00B5109A" w:rsidRPr="00E3754A" w:rsidRDefault="00B5109A" w:rsidP="00AB685C">
      <w:pPr>
        <w:pStyle w:val="ListParagraph"/>
        <w:rPr>
          <w:lang w:val="en-AU"/>
        </w:rPr>
      </w:pPr>
      <w:r w:rsidRPr="00E3754A">
        <w:rPr>
          <w:lang w:val="en-AU"/>
        </w:rPr>
        <w:t xml:space="preserve">Gooding, P. (2015). Psychiatrists’ Perceptions of Supported Decision-Making: A Victorian Empirical Study. </w:t>
      </w:r>
      <w:r w:rsidRPr="00E3754A">
        <w:rPr>
          <w:i/>
          <w:lang w:val="en-AU"/>
        </w:rPr>
        <w:t>Psychiatry, Psychology and Law</w:t>
      </w:r>
      <w:r w:rsidRPr="00E3754A">
        <w:rPr>
          <w:lang w:val="en-AU"/>
        </w:rPr>
        <w:t xml:space="preserve">, </w:t>
      </w:r>
      <w:r w:rsidRPr="00E3754A">
        <w:rPr>
          <w:i/>
          <w:lang w:val="en-AU"/>
        </w:rPr>
        <w:t>22</w:t>
      </w:r>
      <w:r w:rsidRPr="00E3754A">
        <w:rPr>
          <w:lang w:val="en-AU"/>
        </w:rPr>
        <w:t>(5</w:t>
      </w:r>
      <w:r w:rsidR="00DD05AD" w:rsidRPr="00E3754A">
        <w:rPr>
          <w:lang w:val="en-AU"/>
        </w:rPr>
        <w:t>),</w:t>
      </w:r>
      <w:r w:rsidRPr="00E3754A">
        <w:rPr>
          <w:lang w:val="en-AU"/>
        </w:rPr>
        <w:t xml:space="preserve"> 701–22. doi:10.1080/13218719.2014.983217.</w:t>
      </w:r>
    </w:p>
    <w:p w14:paraId="46258F5A" w14:textId="302F293E" w:rsidR="009D6880" w:rsidRPr="00E3754A" w:rsidRDefault="009D6880" w:rsidP="00AB685C">
      <w:pPr>
        <w:pStyle w:val="ListParagraph"/>
        <w:rPr>
          <w:lang w:val="en-AU"/>
        </w:rPr>
      </w:pPr>
      <w:r w:rsidRPr="00E3754A">
        <w:rPr>
          <w:lang w:val="en-AU"/>
        </w:rPr>
        <w:t>Government of Alberta. (2010). Understanding Co-decision-making. Retrieved from http://www.humanservices.alberta.ca/documents/opg-guardianship-publication-opg5633.pdf</w:t>
      </w:r>
    </w:p>
    <w:p w14:paraId="548CF0D0" w14:textId="545C47B7" w:rsidR="00342E4F" w:rsidRPr="00E3754A" w:rsidRDefault="00342E4F" w:rsidP="00AB685C">
      <w:pPr>
        <w:pStyle w:val="ListParagraph"/>
        <w:rPr>
          <w:lang w:val="en-AU"/>
        </w:rPr>
      </w:pPr>
      <w:r w:rsidRPr="00E3754A">
        <w:rPr>
          <w:lang w:val="en-AU"/>
        </w:rPr>
        <w:t>Government of Australia. (2012, June 7). Committee on the Rights of Persons with Disabilities: State Party Report, Australia. Committee on the Rights of Persons with Disabilities.</w:t>
      </w:r>
    </w:p>
    <w:p w14:paraId="593AAFDC" w14:textId="531EB18D" w:rsidR="00646A36" w:rsidRPr="00E3754A" w:rsidRDefault="00342E4F" w:rsidP="00646A36">
      <w:pPr>
        <w:pStyle w:val="ListParagraph"/>
        <w:rPr>
          <w:lang w:val="en-AU"/>
        </w:rPr>
      </w:pPr>
      <w:r w:rsidRPr="00E3754A">
        <w:rPr>
          <w:lang w:val="en-AU"/>
        </w:rPr>
        <w:t>Government of Canada. (2015, July 7). Committee on the Rights of Persons with Disabilities: State Party Report, Australia. Committee on the Rights of Persons with Disabilities.</w:t>
      </w:r>
    </w:p>
    <w:p w14:paraId="365BE08C" w14:textId="3A0C3E93" w:rsidR="0074441C" w:rsidRPr="00E3754A" w:rsidRDefault="0074441C" w:rsidP="00AB685C">
      <w:pPr>
        <w:pStyle w:val="ListParagraph"/>
        <w:rPr>
          <w:lang w:val="en-AU"/>
        </w:rPr>
      </w:pPr>
      <w:r w:rsidRPr="00E3754A">
        <w:rPr>
          <w:lang w:val="en-AU"/>
        </w:rPr>
        <w:t>Government of Norway. (2015, December 7). Committee on the Rights of Persons with Disabilities: State Party Report, Norway. Committee on the Rights of Persons with Disabilities.</w:t>
      </w:r>
    </w:p>
    <w:p w14:paraId="4B067F1C" w14:textId="5EC01212" w:rsidR="00342E4F" w:rsidRPr="00E3754A" w:rsidRDefault="00342E4F" w:rsidP="00AB685C">
      <w:pPr>
        <w:pStyle w:val="ListParagraph"/>
        <w:rPr>
          <w:lang w:val="en-AU"/>
        </w:rPr>
      </w:pPr>
      <w:r w:rsidRPr="00E3754A">
        <w:rPr>
          <w:lang w:val="en-AU"/>
        </w:rPr>
        <w:t>Government of Sweden. (2012, September 18). Committee on the Rights of Persons with Disabilities: State Party Report, Sweden. Committee on the Rights of Persons with Disabilities.</w:t>
      </w:r>
    </w:p>
    <w:p w14:paraId="48C27A9F" w14:textId="711E648D" w:rsidR="000C72B1" w:rsidRPr="00E3754A" w:rsidRDefault="000C72B1" w:rsidP="00AB685C">
      <w:pPr>
        <w:pStyle w:val="ListParagraph"/>
        <w:rPr>
          <w:lang w:val="en-AU"/>
        </w:rPr>
      </w:pPr>
      <w:r w:rsidRPr="00E3754A">
        <w:rPr>
          <w:lang w:val="en-AU"/>
        </w:rPr>
        <w:t xml:space="preserve">Harding, R. (2012). Legal constructions of dementia: discourses of autonomy at the margins of capacity. </w:t>
      </w:r>
      <w:r w:rsidRPr="00E3754A">
        <w:rPr>
          <w:i/>
          <w:lang w:val="en-AU"/>
        </w:rPr>
        <w:t>Journal of Social Welfare and Family Law</w:t>
      </w:r>
      <w:r w:rsidRPr="00E3754A">
        <w:rPr>
          <w:lang w:val="en-AU"/>
        </w:rPr>
        <w:t xml:space="preserve">, </w:t>
      </w:r>
      <w:r w:rsidRPr="00E3754A">
        <w:rPr>
          <w:i/>
          <w:lang w:val="en-AU"/>
        </w:rPr>
        <w:t>34</w:t>
      </w:r>
      <w:r w:rsidRPr="00E3754A">
        <w:rPr>
          <w:lang w:val="en-AU"/>
        </w:rPr>
        <w:t>(4), 425–442. http://doi.org/10.1080/09649069.2012.755031</w:t>
      </w:r>
    </w:p>
    <w:p w14:paraId="5C7FC9DF" w14:textId="301AD4DD" w:rsidR="000102BE" w:rsidRPr="00E3754A" w:rsidRDefault="000102BE" w:rsidP="00AB685C">
      <w:pPr>
        <w:pStyle w:val="ListParagraph"/>
        <w:rPr>
          <w:lang w:val="en-AU"/>
        </w:rPr>
      </w:pPr>
      <w:r w:rsidRPr="00E3754A">
        <w:rPr>
          <w:lang w:val="en-AU"/>
        </w:rPr>
        <w:t>Hiser, D. (2015, September 15). Texas is the first state to recognize Supported Decision-Making as alternative to Guardianship. Retrieved 18 August 2016, from http://www.healthcarelawinsights.com/2015/09/texas-is-the-first-state-to-recognize-supported-decision-making-as-alternative-to-guardianship/</w:t>
      </w:r>
    </w:p>
    <w:p w14:paraId="0B7F7A9B" w14:textId="667C84AE" w:rsidR="00C635B1" w:rsidRPr="00E3754A" w:rsidRDefault="00C635B1" w:rsidP="00AB685C">
      <w:pPr>
        <w:pStyle w:val="ListParagraph"/>
        <w:rPr>
          <w:lang w:val="en-AU"/>
        </w:rPr>
      </w:pPr>
      <w:r w:rsidRPr="00E3754A">
        <w:rPr>
          <w:lang w:val="en-AU"/>
        </w:rPr>
        <w:t>IHC. (n.d.). Advocacy Toolkit. IHC. Retrieved from http://www.ihc.org.nz/sites/default/files/documents/10007_1511_AdvocacyToolkit_InformationSheets_V4.0_WEB_2.pdf</w:t>
      </w:r>
    </w:p>
    <w:p w14:paraId="6BF42F7F" w14:textId="01839912" w:rsidR="00137B5B" w:rsidRPr="00E3754A" w:rsidRDefault="00137B5B" w:rsidP="00AB685C">
      <w:pPr>
        <w:pStyle w:val="ListParagraph"/>
        <w:rPr>
          <w:lang w:val="en-AU"/>
        </w:rPr>
      </w:pPr>
      <w:r w:rsidRPr="00E3754A">
        <w:rPr>
          <w:lang w:val="en-AU"/>
        </w:rPr>
        <w:t>Inclusion Europe. (2007). Justice, Rights and Inclusion for People with Intellectual Disability.</w:t>
      </w:r>
      <w:r w:rsidR="00676FA9" w:rsidRPr="00E3754A">
        <w:rPr>
          <w:lang w:val="en-AU"/>
        </w:rPr>
        <w:t xml:space="preserve"> Retrieved from http://digitalcommons.ilr.cornell.edu/cgi/viewcontent.cgi?article=1279&amp;context=gladnetcollect</w:t>
      </w:r>
    </w:p>
    <w:p w14:paraId="6D5B647E" w14:textId="19D202E2" w:rsidR="000B2AB0" w:rsidRPr="00E3754A" w:rsidRDefault="000B2AB0" w:rsidP="00AB685C">
      <w:pPr>
        <w:pStyle w:val="ListParagraph"/>
        <w:rPr>
          <w:lang w:val="en-AU"/>
        </w:rPr>
      </w:pPr>
      <w:r w:rsidRPr="00E3754A">
        <w:rPr>
          <w:lang w:val="en-AU"/>
        </w:rPr>
        <w:t xml:space="preserve">Jameson, J. M., Riesen, T., Polychronis, S., Trader, B., Mizner, S., Martinis, J., &amp; Hoyle, D. (2015). Guardianship and the Potential of Supported Decision Making With Individuals With Disabilities. </w:t>
      </w:r>
      <w:r w:rsidRPr="00E3754A">
        <w:rPr>
          <w:i/>
          <w:lang w:val="en-AU"/>
        </w:rPr>
        <w:t>Research and Practice for Persons with Severe Disabilities</w:t>
      </w:r>
      <w:r w:rsidRPr="00E3754A">
        <w:rPr>
          <w:lang w:val="en-AU"/>
        </w:rPr>
        <w:t xml:space="preserve">, </w:t>
      </w:r>
      <w:r w:rsidRPr="00E3754A">
        <w:rPr>
          <w:i/>
          <w:lang w:val="en-AU"/>
        </w:rPr>
        <w:t>40</w:t>
      </w:r>
      <w:r w:rsidRPr="00E3754A">
        <w:rPr>
          <w:lang w:val="en-AU"/>
        </w:rPr>
        <w:t>(1), 36–51.</w:t>
      </w:r>
    </w:p>
    <w:p w14:paraId="75ABE7B0" w14:textId="77777777" w:rsidR="00FF77DA" w:rsidRPr="00E3754A" w:rsidRDefault="00FF77DA" w:rsidP="00FF77DA">
      <w:pPr>
        <w:pStyle w:val="ListParagraph"/>
        <w:rPr>
          <w:lang w:val="en-AU"/>
        </w:rPr>
      </w:pPr>
      <w:r w:rsidRPr="00E3754A">
        <w:rPr>
          <w:lang w:val="en-AU"/>
        </w:rPr>
        <w:t xml:space="preserve">Kapp, M. B. (2007). Assessing Assessments of Decision-Making Capacity: A Few Legal Queries and Commentary on ‘Assessment of Decision-Making Capacity in Older Adults’. </w:t>
      </w:r>
      <w:r w:rsidRPr="00E3754A">
        <w:rPr>
          <w:i/>
          <w:iCs/>
          <w:lang w:val="en-AU"/>
        </w:rPr>
        <w:t>The Journals of Gerontology Series B: Psychological Sciences and Social Sciences</w:t>
      </w:r>
      <w:r w:rsidRPr="00E3754A">
        <w:rPr>
          <w:lang w:val="en-AU"/>
        </w:rPr>
        <w:t xml:space="preserve">, </w:t>
      </w:r>
      <w:r w:rsidRPr="00E3754A">
        <w:rPr>
          <w:i/>
          <w:iCs/>
          <w:lang w:val="en-AU"/>
        </w:rPr>
        <w:t>62</w:t>
      </w:r>
      <w:r w:rsidRPr="00E3754A">
        <w:rPr>
          <w:lang w:val="en-AU"/>
        </w:rPr>
        <w:t>(1), P12–P13.</w:t>
      </w:r>
    </w:p>
    <w:p w14:paraId="2148C12D" w14:textId="06CCF305" w:rsidR="00F54271" w:rsidRPr="00E3754A" w:rsidRDefault="00F54271" w:rsidP="00AB685C">
      <w:pPr>
        <w:pStyle w:val="ListParagraph"/>
        <w:rPr>
          <w:lang w:val="en-AU"/>
        </w:rPr>
      </w:pPr>
      <w:r w:rsidRPr="00E3754A">
        <w:rPr>
          <w:lang w:val="en-AU"/>
        </w:rPr>
        <w:t xml:space="preserve">Kayess, R., Sands, T., &amp; Fisher, K. R. (2014). International Power and Local Action – Implications for the Intersectionality of the Rights of Women with Disability. Australian Journal of Public Administration, </w:t>
      </w:r>
      <w:r w:rsidRPr="00E3754A">
        <w:rPr>
          <w:i/>
          <w:lang w:val="en-AU"/>
        </w:rPr>
        <w:t>73</w:t>
      </w:r>
      <w:r w:rsidRPr="00E3754A">
        <w:rPr>
          <w:lang w:val="en-AU"/>
        </w:rPr>
        <w:t>(3), 383–396. http://doi.org/10.1111/1467-8500.12092</w:t>
      </w:r>
    </w:p>
    <w:p w14:paraId="40C32233" w14:textId="7ED447AC" w:rsidR="000A5D75" w:rsidRPr="00E3754A" w:rsidRDefault="000A5D75" w:rsidP="00AB685C">
      <w:pPr>
        <w:pStyle w:val="ListParagraph"/>
        <w:rPr>
          <w:lang w:val="en-AU"/>
        </w:rPr>
      </w:pPr>
      <w:r w:rsidRPr="00E3754A">
        <w:rPr>
          <w:lang w:val="en-AU"/>
        </w:rPr>
        <w:t xml:space="preserve">Keeling, A. (2016). Supported decision making: the rights of people with dementia. </w:t>
      </w:r>
      <w:r w:rsidRPr="00E3754A">
        <w:rPr>
          <w:i/>
          <w:lang w:val="en-AU"/>
        </w:rPr>
        <w:t>Nursing Standard</w:t>
      </w:r>
      <w:r w:rsidRPr="00E3754A">
        <w:rPr>
          <w:lang w:val="en-AU"/>
        </w:rPr>
        <w:t xml:space="preserve">, </w:t>
      </w:r>
      <w:r w:rsidRPr="00E3754A">
        <w:rPr>
          <w:i/>
          <w:lang w:val="en-AU"/>
        </w:rPr>
        <w:t>30</w:t>
      </w:r>
      <w:r w:rsidRPr="00E3754A">
        <w:rPr>
          <w:lang w:val="en-AU"/>
        </w:rPr>
        <w:t>(30), 38–44. Retrieved from http://dx.doi.org/10.7748/ns.30.30.38.s45</w:t>
      </w:r>
    </w:p>
    <w:p w14:paraId="1291E87C" w14:textId="29E7EEF8" w:rsidR="003D0651" w:rsidRPr="00E3754A" w:rsidRDefault="003D0651" w:rsidP="00AB685C">
      <w:pPr>
        <w:pStyle w:val="ListParagraph"/>
        <w:rPr>
          <w:lang w:val="en-AU"/>
        </w:rPr>
      </w:pPr>
      <w:r w:rsidRPr="00E3754A">
        <w:rPr>
          <w:lang w:val="en-AU"/>
        </w:rPr>
        <w:t xml:space="preserve">Kelly, B. D. (2015). The Assisted Decision-Making (Capacity) Bill 2013: content, commentary, controversy. </w:t>
      </w:r>
      <w:r w:rsidRPr="00E3754A">
        <w:rPr>
          <w:i/>
          <w:lang w:val="en-AU"/>
        </w:rPr>
        <w:t>Irish Journal of Medical Science</w:t>
      </w:r>
      <w:r w:rsidRPr="00E3754A">
        <w:rPr>
          <w:lang w:val="en-AU"/>
        </w:rPr>
        <w:t xml:space="preserve">, </w:t>
      </w:r>
      <w:r w:rsidRPr="00E3754A">
        <w:rPr>
          <w:i/>
          <w:lang w:val="en-AU"/>
        </w:rPr>
        <w:t>184</w:t>
      </w:r>
      <w:r w:rsidRPr="00E3754A">
        <w:rPr>
          <w:lang w:val="en-AU"/>
        </w:rPr>
        <w:t>(1), 31–46. http://doi.org/10.1007/s11845-014-1096-1</w:t>
      </w:r>
    </w:p>
    <w:p w14:paraId="23EB9FCF" w14:textId="63FC8042" w:rsidR="0078708D" w:rsidRPr="00E3754A" w:rsidRDefault="0078708D" w:rsidP="00AB685C">
      <w:pPr>
        <w:pStyle w:val="ListParagraph"/>
        <w:rPr>
          <w:lang w:val="en-AU"/>
        </w:rPr>
      </w:pPr>
      <w:r w:rsidRPr="00E3754A">
        <w:rPr>
          <w:lang w:val="en-AU"/>
        </w:rPr>
        <w:t>Kerzner, L. (2011). Paving the way to Full Realization of the CRPD’s Rights to Legal Capacity and Supported Decision-Making: A Canadian Perspective. Retrieved from http://supporteddecisionmaking.org/legal-resource/paving-way-full-realization-crpds-rights-legal-capacity-and-supported-decision-making</w:t>
      </w:r>
    </w:p>
    <w:p w14:paraId="5C4F4232" w14:textId="2AD0A7CA" w:rsidR="00071A91" w:rsidRPr="00E3754A" w:rsidRDefault="00071A91" w:rsidP="00AB685C">
      <w:pPr>
        <w:pStyle w:val="ListParagraph"/>
        <w:rPr>
          <w:lang w:val="en-AU"/>
        </w:rPr>
      </w:pPr>
      <w:r w:rsidRPr="00E3754A">
        <w:rPr>
          <w:lang w:val="en-AU"/>
        </w:rPr>
        <w:t xml:space="preserve">Kohn, N. A., &amp; Blumenthal, J. A. (2014). A critical assessment of supported decision-making for persons aging with intellectual disabilities. </w:t>
      </w:r>
      <w:r w:rsidRPr="00E3754A">
        <w:rPr>
          <w:i/>
          <w:lang w:val="en-AU"/>
        </w:rPr>
        <w:t>Disability and Health Journal</w:t>
      </w:r>
      <w:r w:rsidRPr="00E3754A">
        <w:rPr>
          <w:lang w:val="en-AU"/>
        </w:rPr>
        <w:t xml:space="preserve">, </w:t>
      </w:r>
      <w:r w:rsidRPr="00E3754A">
        <w:rPr>
          <w:i/>
          <w:lang w:val="en-AU"/>
        </w:rPr>
        <w:t>7</w:t>
      </w:r>
      <w:r w:rsidRPr="00E3754A">
        <w:rPr>
          <w:lang w:val="en-AU"/>
        </w:rPr>
        <w:t>(1), S40–S43. http://doi.org/10.1016/j.dhjo.2013.03.005</w:t>
      </w:r>
    </w:p>
    <w:p w14:paraId="143AE8E7" w14:textId="425B6625" w:rsidR="007C4E06" w:rsidRPr="00E3754A" w:rsidRDefault="007C4E06" w:rsidP="00AB685C">
      <w:pPr>
        <w:pStyle w:val="ListParagraph"/>
        <w:rPr>
          <w:lang w:val="en-AU"/>
        </w:rPr>
      </w:pPr>
      <w:r w:rsidRPr="00E3754A">
        <w:rPr>
          <w:lang w:val="en-AU"/>
        </w:rPr>
        <w:t xml:space="preserve">Knox, L., Douglas, J. M., &amp; Bigby, C. (2016). Becoming a decision-making supporter for someone with acquired cognitive disability following traumatic brain injury. </w:t>
      </w:r>
      <w:r w:rsidRPr="00E3754A">
        <w:rPr>
          <w:i/>
          <w:lang w:val="en-AU"/>
        </w:rPr>
        <w:t>Research and Practice in Intellectual and Developmental Disabilities</w:t>
      </w:r>
      <w:r w:rsidRPr="00E3754A">
        <w:rPr>
          <w:lang w:val="en-AU"/>
        </w:rPr>
        <w:t xml:space="preserve">, </w:t>
      </w:r>
      <w:r w:rsidRPr="00E3754A">
        <w:rPr>
          <w:i/>
          <w:lang w:val="en-AU"/>
        </w:rPr>
        <w:t>3</w:t>
      </w:r>
      <w:r w:rsidRPr="00E3754A">
        <w:rPr>
          <w:lang w:val="en-AU"/>
        </w:rPr>
        <w:t>(1), 12–21. http://doi.org/10.1080/23297018.2015.1077341</w:t>
      </w:r>
    </w:p>
    <w:p w14:paraId="6DD2971A" w14:textId="4F77C8C4" w:rsidR="00202960" w:rsidRPr="00E3754A" w:rsidRDefault="005464FB" w:rsidP="00202960">
      <w:pPr>
        <w:pStyle w:val="ListParagraph"/>
        <w:rPr>
          <w:lang w:val="en-AU"/>
        </w:rPr>
      </w:pPr>
      <w:r w:rsidRPr="00E3754A">
        <w:rPr>
          <w:lang w:val="en-AU"/>
        </w:rPr>
        <w:t xml:space="preserve">Lang, R., Kett, M., Groce, N., &amp; Trani, J.-F. (2011). Implementing the United Nations Convention on the rights of persons with disabilities: principles, implications, practice and limitations. </w:t>
      </w:r>
      <w:r w:rsidRPr="00E3754A">
        <w:rPr>
          <w:i/>
          <w:lang w:val="en-AU"/>
        </w:rPr>
        <w:t>ALTER - European Journal of Disability Research / Revue Européenne de Recherche Sur Le Handicap, 5</w:t>
      </w:r>
      <w:r w:rsidRPr="00E3754A">
        <w:rPr>
          <w:lang w:val="en-AU"/>
        </w:rPr>
        <w:t>(3), 206–220. http://doi.org/10.1016/j.alter.2011.02.004</w:t>
      </w:r>
    </w:p>
    <w:p w14:paraId="39AE6D8F" w14:textId="2ACDA84C" w:rsidR="00FF64A1" w:rsidRPr="00E3754A" w:rsidRDefault="00FF64A1" w:rsidP="00AB685C">
      <w:pPr>
        <w:pStyle w:val="ListParagraph"/>
        <w:rPr>
          <w:lang w:val="en-AU"/>
        </w:rPr>
      </w:pPr>
      <w:r w:rsidRPr="00E3754A">
        <w:rPr>
          <w:lang w:val="en-AU"/>
        </w:rPr>
        <w:t>MacPherson, L. (2014). Disability Survey: 2013. Retrieved from http://www.stats.govt.nz/browse_for_stats/health/disabilities/DisabilitySurvey_HOTP2013.aspx</w:t>
      </w:r>
    </w:p>
    <w:p w14:paraId="5BE8815F" w14:textId="46452C20" w:rsidR="00E32F82" w:rsidRPr="00E3754A" w:rsidRDefault="00E32F82" w:rsidP="00E32F82">
      <w:pPr>
        <w:pStyle w:val="ListParagraph"/>
        <w:rPr>
          <w:lang w:val="en-AU"/>
        </w:rPr>
      </w:pPr>
      <w:r w:rsidRPr="00E3754A">
        <w:rPr>
          <w:lang w:val="en-AU"/>
        </w:rPr>
        <w:t>Mahone, I. H., Farrell, S., Hinton, I., Johnson, R., Moody, D., Rifkin, K., Moore, K., Becker, M., &amp; Barker, M. R. (2011). Shared Decision Making in Mental Health Treatment: Qualitative Findings from Stakeholder Focus Groups. </w:t>
      </w:r>
      <w:r w:rsidRPr="00E3754A">
        <w:rPr>
          <w:i/>
          <w:iCs/>
          <w:lang w:val="en-AU"/>
        </w:rPr>
        <w:t>Archives of Psychiatric Nursing</w:t>
      </w:r>
      <w:r w:rsidRPr="00E3754A">
        <w:rPr>
          <w:lang w:val="en-AU"/>
        </w:rPr>
        <w:t>, </w:t>
      </w:r>
      <w:r w:rsidRPr="00E3754A">
        <w:rPr>
          <w:i/>
          <w:iCs/>
          <w:lang w:val="en-AU"/>
        </w:rPr>
        <w:t>25</w:t>
      </w:r>
      <w:r w:rsidRPr="00E3754A">
        <w:rPr>
          <w:lang w:val="en-AU"/>
        </w:rPr>
        <w:t>(6), e27–e36. http://doi.org/10.1016/j.apnu.2011.04.003</w:t>
      </w:r>
    </w:p>
    <w:p w14:paraId="62FEF1F3" w14:textId="1085BA25" w:rsidR="005B0F76" w:rsidRPr="00E3754A" w:rsidRDefault="005B0F76" w:rsidP="00AB685C">
      <w:pPr>
        <w:pStyle w:val="ListParagraph"/>
        <w:rPr>
          <w:lang w:val="en-AU"/>
        </w:rPr>
      </w:pPr>
      <w:r w:rsidRPr="00E3754A">
        <w:rPr>
          <w:lang w:val="en-AU"/>
        </w:rPr>
        <w:t>Martin, W., Michalowski, S., Jütten, T., &amp; Burch, M. (2014). Achieving CRPD Compliance: Is the Mental Capacity Act of England and Wales compatible with the UN Convention on the Rights of Persons with Disability? If not, what next? Retrieved from http://repository.essex.ac.uk/13624/</w:t>
      </w:r>
    </w:p>
    <w:p w14:paraId="504FC2ED" w14:textId="66FAE4D7" w:rsidR="000102BE" w:rsidRPr="00E3754A" w:rsidRDefault="000102BE" w:rsidP="00A7102E">
      <w:pPr>
        <w:pStyle w:val="ListParagraph"/>
        <w:rPr>
          <w:lang w:val="en-AU"/>
        </w:rPr>
      </w:pPr>
      <w:r w:rsidRPr="00E3754A">
        <w:rPr>
          <w:lang w:val="en-AU"/>
        </w:rPr>
        <w:t xml:space="preserve">McDaid, S., &amp; Delaney, S. (2011). A social approach to decision-making capacity: exploratory research with people with experience of mental health treatment. </w:t>
      </w:r>
      <w:r w:rsidRPr="00E3754A">
        <w:rPr>
          <w:i/>
          <w:lang w:val="en-AU"/>
        </w:rPr>
        <w:t>Disability &amp; Society</w:t>
      </w:r>
      <w:r w:rsidRPr="00E3754A">
        <w:rPr>
          <w:lang w:val="en-AU"/>
        </w:rPr>
        <w:t>,</w:t>
      </w:r>
      <w:r w:rsidRPr="00E3754A">
        <w:rPr>
          <w:i/>
          <w:lang w:val="en-AU"/>
        </w:rPr>
        <w:t xml:space="preserve"> 26</w:t>
      </w:r>
      <w:r w:rsidRPr="00E3754A">
        <w:rPr>
          <w:lang w:val="en-AU"/>
        </w:rPr>
        <w:t>(6), 729–742. http://doi.org/10.1080/09687599.2011.602864</w:t>
      </w:r>
    </w:p>
    <w:p w14:paraId="11B1EA50" w14:textId="7F414E31" w:rsidR="004F6DA5" w:rsidRPr="00E3754A" w:rsidRDefault="0083608E" w:rsidP="00A7102E">
      <w:pPr>
        <w:pStyle w:val="ListParagraph"/>
        <w:rPr>
          <w:lang w:val="en-AU"/>
        </w:rPr>
      </w:pPr>
      <w:r w:rsidRPr="00E3754A">
        <w:rPr>
          <w:lang w:val="en-AU"/>
        </w:rPr>
        <w:t xml:space="preserve">McMillian, J., Hope, T., &amp; Walker, S. (2014). </w:t>
      </w:r>
      <w:r w:rsidR="00167391" w:rsidRPr="00E3754A">
        <w:rPr>
          <w:lang w:val="en-AU"/>
        </w:rPr>
        <w:t xml:space="preserve">Valuing Hope. </w:t>
      </w:r>
      <w:r w:rsidR="00E36EDC" w:rsidRPr="00E3754A">
        <w:rPr>
          <w:i/>
          <w:lang w:val="en-AU"/>
        </w:rPr>
        <w:t>Monash Bioethics Review, 32</w:t>
      </w:r>
      <w:r w:rsidR="00E36EDC" w:rsidRPr="00E3754A">
        <w:rPr>
          <w:lang w:val="en-AU"/>
        </w:rPr>
        <w:t>, 33-42</w:t>
      </w:r>
      <w:r w:rsidR="00481854" w:rsidRPr="00E3754A">
        <w:rPr>
          <w:lang w:val="en-AU"/>
        </w:rPr>
        <w:t>.</w:t>
      </w:r>
    </w:p>
    <w:p w14:paraId="0C9E82A4" w14:textId="11F4946C" w:rsidR="0060711F" w:rsidRPr="00E3754A" w:rsidRDefault="0060711F" w:rsidP="00A7102E">
      <w:pPr>
        <w:pStyle w:val="ListParagraph"/>
        <w:rPr>
          <w:lang w:val="en-AU"/>
        </w:rPr>
      </w:pPr>
      <w:r w:rsidRPr="00E3754A">
        <w:rPr>
          <w:lang w:val="en-AU"/>
        </w:rPr>
        <w:t>Mcsherry, B., &amp; Wilson, K. (2011). Detention and Treatment Down Under: Human Rights and Mental Health Laws in Australia and New Zealand</w:t>
      </w:r>
      <w:r w:rsidRPr="00E3754A">
        <w:rPr>
          <w:i/>
          <w:lang w:val="en-AU"/>
        </w:rPr>
        <w:t>. Medical Law Review, 19</w:t>
      </w:r>
      <w:r w:rsidRPr="00E3754A">
        <w:rPr>
          <w:lang w:val="en-AU"/>
        </w:rPr>
        <w:t>(4), 548–580. http://doi.org/10.1093/medlaw/fwr024</w:t>
      </w:r>
    </w:p>
    <w:p w14:paraId="63A0AFBB" w14:textId="77C35F14" w:rsidR="00A7102E" w:rsidRPr="00E3754A" w:rsidRDefault="00A84BF6" w:rsidP="00A7102E">
      <w:pPr>
        <w:pStyle w:val="ListParagraph"/>
        <w:rPr>
          <w:lang w:val="en-AU"/>
        </w:rPr>
      </w:pPr>
      <w:r w:rsidRPr="00E3754A">
        <w:rPr>
          <w:lang w:val="en-AU"/>
        </w:rPr>
        <w:t>Mental Disability Advocacy Center. (n.d.). Supported decision-making: An alternative to guardianship. Retrieved from http://mdac.info/sites/mdac.info/files/English_Supported_Decision-making_An_Alternative_to_Guardianship.pdf</w:t>
      </w:r>
    </w:p>
    <w:p w14:paraId="1984387F" w14:textId="77777777" w:rsidR="00B5109A" w:rsidRPr="00E3754A" w:rsidRDefault="00B5109A" w:rsidP="00AB685C">
      <w:pPr>
        <w:pStyle w:val="ListParagraph"/>
        <w:rPr>
          <w:lang w:val="en-AU"/>
        </w:rPr>
      </w:pPr>
      <w:r w:rsidRPr="00E3754A">
        <w:rPr>
          <w:lang w:val="en-AU"/>
        </w:rPr>
        <w:t>Milner, P., &amp; Mirfin-Veitch, B. (2012). “I am here” The Article 19 Project. New Zealand: CCS Disability Action.</w:t>
      </w:r>
    </w:p>
    <w:p w14:paraId="25C9FD36" w14:textId="39B14E5A" w:rsidR="006C4306" w:rsidRPr="00E3754A" w:rsidRDefault="006C4306" w:rsidP="00AB685C">
      <w:pPr>
        <w:pStyle w:val="ListParagraph"/>
        <w:rPr>
          <w:lang w:val="en-AU"/>
        </w:rPr>
      </w:pPr>
      <w:r w:rsidRPr="00E3754A">
        <w:rPr>
          <w:lang w:val="en-AU"/>
        </w:rPr>
        <w:t>Minkowitz, T. (2013). CRPD Article 12 and the Alternative to Functional Capacity: Preliminary Thoughts towards Transformation. Retrieved from http://papers.ssrn.com/sol3/papers.cfm?abstract_id=2371939</w:t>
      </w:r>
    </w:p>
    <w:p w14:paraId="1D237668" w14:textId="49249FB0" w:rsidR="00A7102E" w:rsidRPr="00E3754A" w:rsidRDefault="00A7102E" w:rsidP="00A7102E">
      <w:pPr>
        <w:pStyle w:val="ListParagraph"/>
        <w:rPr>
          <w:lang w:val="en-AU"/>
        </w:rPr>
      </w:pPr>
      <w:r w:rsidRPr="00E3754A">
        <w:rPr>
          <w:lang w:val="en-AU"/>
        </w:rPr>
        <w:t>Minkowitz, T. (2014, January 22). Submission to Committee on the Rights of Persons with Disabilities on the Draft General Comment on Article 12. Retrieved from http://www.ohchr.org/EN/HRBodies/CRPD/Pages/DGCArticles12And9.aspx</w:t>
      </w:r>
    </w:p>
    <w:p w14:paraId="08BD21B9" w14:textId="33B27146" w:rsidR="009441A1" w:rsidRPr="00E3754A" w:rsidRDefault="009441A1" w:rsidP="000E1DC5">
      <w:pPr>
        <w:pStyle w:val="ListParagraph"/>
        <w:rPr>
          <w:lang w:val="en-AU"/>
        </w:rPr>
      </w:pPr>
      <w:r w:rsidRPr="00E3754A">
        <w:rPr>
          <w:lang w:val="en-AU"/>
        </w:rPr>
        <w:t>Moorhead, K., Lockhart, M., &amp; Lambert, M. (2016, April). Supported Decision Making and Mental Health Workshop. Powerpoint presented at the The Conversation:</w:t>
      </w:r>
      <w:r w:rsidR="006F7CE1" w:rsidRPr="00E3754A">
        <w:rPr>
          <w:lang w:val="en-AU"/>
        </w:rPr>
        <w:t xml:space="preserve"> </w:t>
      </w:r>
      <w:r w:rsidRPr="00E3754A">
        <w:rPr>
          <w:lang w:val="en-AU"/>
        </w:rPr>
        <w:t>Supported Decision Making Hui, Waipuna Hotel, Mt Wellington, Auckland. Retrieved from http://aucklanddisabilitylaw.org.nz/supported-decision-making-home/supported-decision-making-presentations/</w:t>
      </w:r>
    </w:p>
    <w:p w14:paraId="02CCDE6B" w14:textId="77E07AFA" w:rsidR="000E1DC5" w:rsidRPr="00E3754A" w:rsidRDefault="000E1DC5" w:rsidP="000E1DC5">
      <w:pPr>
        <w:pStyle w:val="ListParagraph"/>
        <w:rPr>
          <w:lang w:val="en-AU"/>
        </w:rPr>
      </w:pPr>
      <w:r w:rsidRPr="00E3754A">
        <w:rPr>
          <w:lang w:val="en-AU"/>
        </w:rPr>
        <w:t>Morris, M. (2015). From Theory to Practice: Supported Decision-Making and Financial Decisions. Powerpoint presented at the 2016 Webinar Series 2: From Theory to Practice: Supported Decision-Making and Financial Decisions. Retrieved from http://supporteddecisionmaking.org/events/webinar-series-theory-practice-supported-decision-making-and-financial-decisions</w:t>
      </w:r>
    </w:p>
    <w:p w14:paraId="226022C1" w14:textId="77777777" w:rsidR="00A7102E" w:rsidRPr="00E3754A" w:rsidRDefault="00A7102E" w:rsidP="00A7102E">
      <w:pPr>
        <w:pStyle w:val="ListParagraph"/>
        <w:rPr>
          <w:lang w:val="en-AU"/>
        </w:rPr>
      </w:pPr>
      <w:r w:rsidRPr="00E3754A">
        <w:rPr>
          <w:lang w:val="en-AU"/>
        </w:rPr>
        <w:t xml:space="preserve">Morrissey, F. (2012). The United Nations Convention on the Rights of Persons with Disabilities: A New Approach to Decision-Making in Mental Health Law. </w:t>
      </w:r>
      <w:r w:rsidRPr="00E3754A">
        <w:rPr>
          <w:i/>
          <w:lang w:val="en-AU"/>
        </w:rPr>
        <w:t>European Journal of Health Law</w:t>
      </w:r>
      <w:r w:rsidRPr="00E3754A">
        <w:rPr>
          <w:lang w:val="en-AU"/>
        </w:rPr>
        <w:t xml:space="preserve">, </w:t>
      </w:r>
      <w:r w:rsidRPr="00E3754A">
        <w:rPr>
          <w:i/>
          <w:lang w:val="en-AU"/>
        </w:rPr>
        <w:t>19</w:t>
      </w:r>
      <w:r w:rsidRPr="00E3754A">
        <w:rPr>
          <w:lang w:val="en-AU"/>
        </w:rPr>
        <w:t>, 423–440. http://doi.org/10.1163/15718093-12341237</w:t>
      </w:r>
    </w:p>
    <w:p w14:paraId="474E5CD0" w14:textId="279D4D8F" w:rsidR="00F73509" w:rsidRPr="00E3754A" w:rsidRDefault="00F73509" w:rsidP="00AB685C">
      <w:pPr>
        <w:pStyle w:val="ListParagraph"/>
        <w:rPr>
          <w:lang w:val="en-AU"/>
        </w:rPr>
      </w:pPr>
      <w:r w:rsidRPr="00E3754A">
        <w:rPr>
          <w:lang w:val="en-AU"/>
        </w:rPr>
        <w:t>New Zealand Human Rights Commission, Ombudsman NZ, &amp; the Convention Coalition Monitoring Group.</w:t>
      </w:r>
      <w:r w:rsidR="00D949D8" w:rsidRPr="00E3754A">
        <w:rPr>
          <w:lang w:val="en-AU"/>
        </w:rPr>
        <w:t xml:space="preserve"> (2015).</w:t>
      </w:r>
      <w:r w:rsidRPr="00E3754A">
        <w:rPr>
          <w:lang w:val="en-AU"/>
        </w:rPr>
        <w:t xml:space="preserve"> </w:t>
      </w:r>
      <w:r w:rsidR="00152D35" w:rsidRPr="00E3754A">
        <w:rPr>
          <w:lang w:val="en-AU"/>
        </w:rPr>
        <w:t>Reasonable accommodation of persons with disabilities in New Zealand. Retrieved from https://www.hrc.co.nz/news/reasonable-accommodation-guide-focussing-persons-disabilities-released/</w:t>
      </w:r>
    </w:p>
    <w:p w14:paraId="2D88826A" w14:textId="0E637140" w:rsidR="002675C7" w:rsidRPr="00E3754A" w:rsidRDefault="002675C7" w:rsidP="000A3332">
      <w:pPr>
        <w:pStyle w:val="ListParagraph"/>
        <w:rPr>
          <w:lang w:val="en-AU"/>
        </w:rPr>
      </w:pPr>
      <w:r w:rsidRPr="00E3754A">
        <w:rPr>
          <w:lang w:val="en-AU"/>
        </w:rPr>
        <w:t>Nidus Personal Planning Resource Centre. (2012). Role of the Monitor. Retrieved from http://www.nidus.ca/PDFs/Nidus_Info_Role_Monitor.pdf</w:t>
      </w:r>
    </w:p>
    <w:p w14:paraId="22C42703" w14:textId="5FB0694A" w:rsidR="003A0EDB" w:rsidRPr="00E3754A" w:rsidRDefault="003A0EDB" w:rsidP="000A3332">
      <w:pPr>
        <w:pStyle w:val="ListParagraph"/>
        <w:rPr>
          <w:lang w:val="en-AU"/>
        </w:rPr>
      </w:pPr>
      <w:r w:rsidRPr="00E3754A">
        <w:rPr>
          <w:lang w:val="en-AU"/>
        </w:rPr>
        <w:t>Nilsson,</w:t>
      </w:r>
      <w:r w:rsidR="006F7CE1" w:rsidRPr="00E3754A">
        <w:rPr>
          <w:lang w:val="en-AU"/>
        </w:rPr>
        <w:t xml:space="preserve"> </w:t>
      </w:r>
      <w:r w:rsidRPr="00E3754A">
        <w:rPr>
          <w:lang w:val="en-AU"/>
        </w:rPr>
        <w:t>A. (2012). Who Gets to Decide? Right to legal capacity fo persons with intellectual and psychological disabilities. Retrieved from https://www.coe.int/t/commissioner/source/prems/IP_LegalCapacity_GBR.pdf</w:t>
      </w:r>
    </w:p>
    <w:p w14:paraId="4C257440" w14:textId="409124C2" w:rsidR="009D6880" w:rsidRPr="00E3754A" w:rsidRDefault="009D6880" w:rsidP="000A3332">
      <w:pPr>
        <w:pStyle w:val="ListParagraph"/>
        <w:rPr>
          <w:lang w:val="en-AU"/>
        </w:rPr>
      </w:pPr>
      <w:r w:rsidRPr="00E3754A">
        <w:rPr>
          <w:lang w:val="en-AU"/>
        </w:rPr>
        <w:t>Nunnelley, S. (n.d.). Personal Support Networks in Practice and Theory: Assessing the Implications for Supported Decision-Making Law. Law Commission of Ontario. Retrieved from http://www.lco-cdo.org/en/capacity-guardianship-commissioned-paper-nunnelley</w:t>
      </w:r>
    </w:p>
    <w:p w14:paraId="56B0303F" w14:textId="5C535BED" w:rsidR="00CA4DC5" w:rsidRPr="00E3754A" w:rsidRDefault="00CA4DC5" w:rsidP="000A3332">
      <w:pPr>
        <w:pStyle w:val="ListParagraph"/>
        <w:rPr>
          <w:lang w:val="en-AU"/>
        </w:rPr>
      </w:pPr>
      <w:r w:rsidRPr="00E3754A">
        <w:rPr>
          <w:lang w:val="en-AU"/>
        </w:rPr>
        <w:t xml:space="preserve">O’Mahony, C. (2012). Legal capacity and detention: implications of the UN disability convention for the inspection standards of human rights monitoring bodies. The International Journal of Human Rights, </w:t>
      </w:r>
      <w:r w:rsidRPr="00E3754A">
        <w:rPr>
          <w:i/>
          <w:lang w:val="en-AU"/>
        </w:rPr>
        <w:t>16</w:t>
      </w:r>
      <w:r w:rsidRPr="00E3754A">
        <w:rPr>
          <w:lang w:val="en-AU"/>
        </w:rPr>
        <w:t>(6), 883-901.</w:t>
      </w:r>
      <w:r w:rsidR="0029390D" w:rsidRPr="00E3754A">
        <w:rPr>
          <w:lang w:val="en-AU"/>
        </w:rPr>
        <w:t xml:space="preserve"> Retrieved from http://dx.doi.org/10.1080/13642987.2012.718510</w:t>
      </w:r>
    </w:p>
    <w:p w14:paraId="72CC8580" w14:textId="6338A424" w:rsidR="00A54D26" w:rsidRPr="00E3754A" w:rsidRDefault="00A54D26" w:rsidP="000A3332">
      <w:pPr>
        <w:pStyle w:val="ListParagraph"/>
        <w:rPr>
          <w:lang w:val="en-AU"/>
        </w:rPr>
      </w:pPr>
      <w:r w:rsidRPr="00E3754A">
        <w:rPr>
          <w:lang w:val="en-AU"/>
        </w:rPr>
        <w:t>Office of the Public Advocate. (2011). Developing a Model of Practice for Supported Decision Making. Retrieved from http://www.opa.sa.gov.au/files/batch1376447055_supported_decision_making_practice_manual_v1-4.pdf</w:t>
      </w:r>
    </w:p>
    <w:p w14:paraId="4D57391B" w14:textId="72B84AC1" w:rsidR="00790184" w:rsidRPr="00E3754A" w:rsidRDefault="00790184" w:rsidP="000A3332">
      <w:pPr>
        <w:pStyle w:val="ListParagraph"/>
        <w:rPr>
          <w:lang w:val="en-AU"/>
        </w:rPr>
      </w:pPr>
      <w:r w:rsidRPr="00E3754A">
        <w:rPr>
          <w:lang w:val="en-AU"/>
        </w:rPr>
        <w:t xml:space="preserve">Pathare, S., &amp; Shields, L. S. (2012). Supported decision-making for persons with mental illness: A review. </w:t>
      </w:r>
      <w:r w:rsidRPr="00E3754A">
        <w:rPr>
          <w:i/>
          <w:lang w:val="en-AU"/>
        </w:rPr>
        <w:t>Public Health Reviews</w:t>
      </w:r>
      <w:r w:rsidRPr="00E3754A">
        <w:rPr>
          <w:lang w:val="en-AU"/>
        </w:rPr>
        <w:t>, 34(2), 1.</w:t>
      </w:r>
    </w:p>
    <w:p w14:paraId="3F5FD298" w14:textId="3642EEBA" w:rsidR="000264B5" w:rsidRPr="00E3754A" w:rsidRDefault="000264B5" w:rsidP="000264B5">
      <w:pPr>
        <w:pStyle w:val="ListParagraph"/>
        <w:rPr>
          <w:lang w:val="en-AU"/>
        </w:rPr>
      </w:pPr>
      <w:r w:rsidRPr="00E3754A">
        <w:rPr>
          <w:lang w:val="en-AU"/>
        </w:rPr>
        <w:t>Perlin, M. (2013).</w:t>
      </w:r>
      <w:r w:rsidR="006F7CE1" w:rsidRPr="00E3754A">
        <w:rPr>
          <w:lang w:val="en-AU"/>
        </w:rPr>
        <w:t xml:space="preserve"> </w:t>
      </w:r>
      <w:r w:rsidRPr="00E3754A">
        <w:rPr>
          <w:lang w:val="en-AU"/>
        </w:rPr>
        <w:t>“Striking for the Guardians and Protectors of the Mind”: The Convention on the Rights of Persons with Mental Disabilities and the Future of Guardianship Law. Retrieved from http://www.pennstatelawreview.org/117/4/5-Perlin%20(final).pdf</w:t>
      </w:r>
    </w:p>
    <w:p w14:paraId="652742C6" w14:textId="40CD1689" w:rsidR="00767994" w:rsidRPr="00E3754A" w:rsidRDefault="00767994" w:rsidP="00C30F96">
      <w:pPr>
        <w:pStyle w:val="ListParagraph"/>
        <w:rPr>
          <w:lang w:val="en-AU"/>
        </w:rPr>
      </w:pPr>
      <w:r w:rsidRPr="00E3754A">
        <w:rPr>
          <w:lang w:val="en-AU"/>
        </w:rPr>
        <w:t>Picton, A., &amp; Elsmore, S. (2009). Decisions, decisions – establishing a legal framework around decision making</w:t>
      </w:r>
      <w:r w:rsidRPr="00E3754A">
        <w:rPr>
          <w:i/>
          <w:lang w:val="en-AU"/>
        </w:rPr>
        <w:t>. Community Living</w:t>
      </w:r>
      <w:r w:rsidR="002104F7" w:rsidRPr="00E3754A">
        <w:rPr>
          <w:i/>
          <w:lang w:val="en-AU"/>
        </w:rPr>
        <w:t>,</w:t>
      </w:r>
      <w:r w:rsidR="006F7CE1" w:rsidRPr="00E3754A">
        <w:rPr>
          <w:i/>
          <w:lang w:val="en-AU"/>
        </w:rPr>
        <w:t xml:space="preserve"> </w:t>
      </w:r>
      <w:r w:rsidR="002104F7" w:rsidRPr="00E3754A">
        <w:rPr>
          <w:i/>
          <w:lang w:val="en-AU"/>
        </w:rPr>
        <w:t>23</w:t>
      </w:r>
      <w:r w:rsidR="002104F7" w:rsidRPr="00E3754A">
        <w:rPr>
          <w:lang w:val="en-AU"/>
        </w:rPr>
        <w:t>(2), 20-23.</w:t>
      </w:r>
    </w:p>
    <w:p w14:paraId="2D7B6C09" w14:textId="35C1455D" w:rsidR="00C30F96" w:rsidRPr="00E3754A" w:rsidRDefault="00C30F96" w:rsidP="00C30F96">
      <w:pPr>
        <w:pStyle w:val="ListParagraph"/>
        <w:rPr>
          <w:lang w:val="en-AU"/>
        </w:rPr>
      </w:pPr>
      <w:r w:rsidRPr="00E3754A">
        <w:rPr>
          <w:lang w:val="en-AU"/>
        </w:rPr>
        <w:t>Quinn, G. (2010). Personhood and Legal Capacity Perspectives on the Paradigm Shift of Article 12 CRPD. HPOD Conference Harvard Law School 20 February 2010. Retrieved from: http:// www.nuigalway.ie/cdlp/documents/publications/Harvard Legal Capacity gq draft 2.doc</w:t>
      </w:r>
    </w:p>
    <w:p w14:paraId="5039F8BA" w14:textId="5064C05D" w:rsidR="00272DFD" w:rsidRPr="00E3754A" w:rsidRDefault="00272DFD" w:rsidP="00272DFD">
      <w:pPr>
        <w:pStyle w:val="ListParagraph"/>
        <w:rPr>
          <w:lang w:val="en-AU"/>
        </w:rPr>
      </w:pPr>
      <w:r w:rsidRPr="00E3754A">
        <w:rPr>
          <w:lang w:val="en-AU"/>
        </w:rPr>
        <w:t xml:space="preserve">Richardson, G. (2012). Mental Disabilities and the Law: From Substitute to Supported Decision-Making? </w:t>
      </w:r>
      <w:r w:rsidRPr="00E3754A">
        <w:rPr>
          <w:i/>
          <w:iCs/>
          <w:lang w:val="en-AU"/>
        </w:rPr>
        <w:t>Current Legal Problem</w:t>
      </w:r>
      <w:r w:rsidRPr="00E3754A">
        <w:rPr>
          <w:lang w:val="en-AU"/>
        </w:rPr>
        <w:t xml:space="preserve">, </w:t>
      </w:r>
      <w:r w:rsidRPr="00E3754A">
        <w:rPr>
          <w:i/>
          <w:iCs/>
          <w:lang w:val="en-AU"/>
        </w:rPr>
        <w:t>65</w:t>
      </w:r>
      <w:r w:rsidRPr="00E3754A">
        <w:rPr>
          <w:lang w:val="en-AU"/>
        </w:rPr>
        <w:t>, 333–354. https://doi.org/10.1093/clp/cus010</w:t>
      </w:r>
    </w:p>
    <w:p w14:paraId="6F6B9AD2" w14:textId="7D4F3ACB" w:rsidR="00EE52D1" w:rsidRPr="00E3754A" w:rsidRDefault="00EE52D1" w:rsidP="000A3332">
      <w:pPr>
        <w:pStyle w:val="ListParagraph"/>
        <w:rPr>
          <w:lang w:val="en-AU"/>
        </w:rPr>
      </w:pPr>
      <w:r w:rsidRPr="00E3754A">
        <w:rPr>
          <w:lang w:val="en-AU"/>
        </w:rPr>
        <w:t xml:space="preserve">Richardson, G. (2013). Mental capacity in the shadow of suicide: What can the law do? International Journal of </w:t>
      </w:r>
      <w:r w:rsidRPr="00E3754A">
        <w:rPr>
          <w:i/>
          <w:lang w:val="en-AU"/>
        </w:rPr>
        <w:t>Law in Context</w:t>
      </w:r>
      <w:r w:rsidRPr="00E3754A">
        <w:rPr>
          <w:lang w:val="en-AU"/>
        </w:rPr>
        <w:t>, 9(1), 87–105. http://doi.org/10.1017/S174455231200050X</w:t>
      </w:r>
    </w:p>
    <w:p w14:paraId="59D1B7B0" w14:textId="7E4873D2" w:rsidR="00862FA0" w:rsidRPr="00E3754A" w:rsidRDefault="00862FA0" w:rsidP="000A3332">
      <w:pPr>
        <w:pStyle w:val="ListParagraph"/>
        <w:rPr>
          <w:lang w:val="en-AU"/>
        </w:rPr>
      </w:pPr>
      <w:r w:rsidRPr="00E3754A">
        <w:rPr>
          <w:lang w:val="en-AU"/>
        </w:rPr>
        <w:t>Scotland, Scottish Government, National Health Service in Scotland, &amp; APS Group Scotland. (2013). Independent advocacy: guide for commissioners. Retrieved from http://www.nls.uk/scotgov/2014/9781784121853.pdf</w:t>
      </w:r>
    </w:p>
    <w:p w14:paraId="472B8CEF" w14:textId="2CB1ED03" w:rsidR="0069512F" w:rsidRPr="00E3754A" w:rsidRDefault="00747846" w:rsidP="000A3332">
      <w:pPr>
        <w:pStyle w:val="ListParagraph"/>
        <w:rPr>
          <w:lang w:val="en-AU"/>
        </w:rPr>
      </w:pPr>
      <w:r w:rsidRPr="00E3754A">
        <w:rPr>
          <w:lang w:val="en-AU"/>
        </w:rPr>
        <w:t xml:space="preserve">Series, L. (2015). Relationships, autonomy and legal capacity: Mental capacity and support paradigms. </w:t>
      </w:r>
      <w:r w:rsidRPr="00E3754A">
        <w:rPr>
          <w:i/>
          <w:lang w:val="en-AU"/>
        </w:rPr>
        <w:t>International Journal of Law and Psychiatry, 40</w:t>
      </w:r>
      <w:r w:rsidRPr="00E3754A">
        <w:rPr>
          <w:lang w:val="en-AU"/>
        </w:rPr>
        <w:t>, 80–91. http://doi.org/10.1016/j.ijlp.2015.04.010</w:t>
      </w:r>
    </w:p>
    <w:p w14:paraId="3FE93D92" w14:textId="0704D606" w:rsidR="0069512F" w:rsidRPr="00E3754A" w:rsidRDefault="0069512F" w:rsidP="000A3332">
      <w:pPr>
        <w:pStyle w:val="ListParagraph"/>
        <w:rPr>
          <w:lang w:val="en-AU"/>
        </w:rPr>
      </w:pPr>
      <w:r w:rsidRPr="00E3754A">
        <w:rPr>
          <w:lang w:val="en-AU"/>
        </w:rPr>
        <w:t xml:space="preserve">Series, L., Arstein-Kerslake, A., Gooding, P., &amp; Eilionóir, F. (2014). The Mental Capacity Act 2005, the Adults with Incapacity (Scotland) Act 2000 and the Convention on the Rights of Persons with Disabilities: The Basics. </w:t>
      </w:r>
      <w:r w:rsidRPr="00E3754A">
        <w:rPr>
          <w:i/>
          <w:lang w:val="en-AU"/>
        </w:rPr>
        <w:t>Thirty Nine Essex Street Newsletter, 47</w:t>
      </w:r>
      <w:r w:rsidR="00CE5550" w:rsidRPr="00E3754A">
        <w:rPr>
          <w:lang w:val="en-AU"/>
        </w:rPr>
        <w:t xml:space="preserve">. </w:t>
      </w:r>
      <w:r w:rsidRPr="00E3754A">
        <w:rPr>
          <w:lang w:val="en-AU"/>
        </w:rPr>
        <w:t>Retrieved from http://www.39essex.com/docs/newsletters/crpd_discussion_paper_series_et_al.pdf</w:t>
      </w:r>
    </w:p>
    <w:p w14:paraId="55717D70" w14:textId="405E4DED" w:rsidR="0091578F" w:rsidRPr="00E3754A" w:rsidRDefault="0091578F" w:rsidP="000A3332">
      <w:pPr>
        <w:pStyle w:val="ListParagraph"/>
        <w:rPr>
          <w:lang w:val="en-AU"/>
        </w:rPr>
      </w:pPr>
      <w:r w:rsidRPr="00E3754A">
        <w:rPr>
          <w:lang w:val="en-AU"/>
        </w:rPr>
        <w:t>SIAA. (2016, May). Advocacy Briefing. Retrieved from http://www.siaa.org.uk/wp-content/uploads/2016/05/Advocacy-Briefing-May-20161.pdf</w:t>
      </w:r>
    </w:p>
    <w:p w14:paraId="7CEB09C4" w14:textId="2EF8B5DC" w:rsidR="00223C53" w:rsidRPr="00E3754A" w:rsidRDefault="00223C53" w:rsidP="000A3332">
      <w:pPr>
        <w:pStyle w:val="ListParagraph"/>
        <w:rPr>
          <w:lang w:val="en-AU"/>
        </w:rPr>
      </w:pPr>
      <w:r w:rsidRPr="00E3754A">
        <w:rPr>
          <w:lang w:val="en-AU"/>
        </w:rPr>
        <w:t>SIAA. (n.d.). Types of Advocacy. Retrieved 18 August 2016, from http://www.siaa.org.uk/us/independent-advocacy/need-advocate/</w:t>
      </w:r>
    </w:p>
    <w:p w14:paraId="59D5D48E" w14:textId="296D9CBA" w:rsidR="00925A24" w:rsidRPr="00E3754A" w:rsidRDefault="00925A24" w:rsidP="00925A24">
      <w:pPr>
        <w:pStyle w:val="ListParagraph"/>
        <w:rPr>
          <w:lang w:val="en-AU"/>
        </w:rPr>
      </w:pPr>
      <w:r w:rsidRPr="00E3754A">
        <w:rPr>
          <w:lang w:val="en-AU"/>
        </w:rPr>
        <w:t>Slobogin, Christopher (2015)</w:t>
      </w:r>
      <w:r w:rsidR="006812CE" w:rsidRPr="00E3754A">
        <w:rPr>
          <w:lang w:val="en-AU"/>
        </w:rPr>
        <w:t>.</w:t>
      </w:r>
      <w:r w:rsidRPr="00E3754A">
        <w:rPr>
          <w:lang w:val="en-AU"/>
        </w:rPr>
        <w:t xml:space="preserve"> Eliminating Mental Disability as a Legal Criterion in Deprivation of Liberty Cases: The Impact of the Convention on the Rights of Persons with Disabilities on the Insanity Defense, Civil Commitment, and Competency Law. </w:t>
      </w:r>
      <w:r w:rsidR="006812CE" w:rsidRPr="00E3754A">
        <w:rPr>
          <w:i/>
          <w:lang w:val="en-AU"/>
        </w:rPr>
        <w:t>International Journal of Law and Psychiatry, 40,</w:t>
      </w:r>
      <w:r w:rsidRPr="00E3754A">
        <w:rPr>
          <w:lang w:val="en-AU"/>
        </w:rPr>
        <w:t xml:space="preserve"> 14-23. Retrieved from http://dx.doi.org/10.2139/ssrn.2461279</w:t>
      </w:r>
    </w:p>
    <w:p w14:paraId="2978CCA6" w14:textId="16E64BC1" w:rsidR="005D55ED" w:rsidRPr="00E3754A" w:rsidRDefault="005D55ED" w:rsidP="000A3332">
      <w:pPr>
        <w:pStyle w:val="ListParagraph"/>
        <w:rPr>
          <w:lang w:val="en-AU"/>
        </w:rPr>
      </w:pPr>
      <w:r w:rsidRPr="00E3754A">
        <w:rPr>
          <w:lang w:val="en-AU"/>
        </w:rPr>
        <w:t>Smaill, A. (2016, April). Using Visual Supports to Assist Supported Decision Making. Powerpoint presented at the The Conversation:</w:t>
      </w:r>
      <w:r w:rsidR="006F7CE1" w:rsidRPr="00E3754A">
        <w:rPr>
          <w:lang w:val="en-AU"/>
        </w:rPr>
        <w:t xml:space="preserve"> </w:t>
      </w:r>
      <w:r w:rsidRPr="00E3754A">
        <w:rPr>
          <w:lang w:val="en-AU"/>
        </w:rPr>
        <w:t>Supported Decision Making Hui, Waipuna Hotel, Mt Wellington, Auckland. Retrieved from https://www.google.co.nz/url?sa=t&amp;rct=j&amp;q=&amp;esrc=s&amp;source=web&amp;cd=1&amp;cad=rja&amp;uact=8&amp;ved=0ahUKEwjD_MSvlJ_OAhUBUZQKHbWGBTcQFggaMAA&amp;url=http%3A%2F%2Faucklanddisabilitylaw.org.nz%2Fwp-content%2Fuploads%2Fpresentations%2FTalkLink%2BPresentation.pdf&amp;usg=AFQjCNFY4JijRjfsJIJam-dd0oL3dHZf-g&amp;bvm=bv.128617741,d.dGo</w:t>
      </w:r>
    </w:p>
    <w:p w14:paraId="03795106" w14:textId="421ABDE1" w:rsidR="00A77A6F" w:rsidRPr="00E3754A" w:rsidRDefault="00A77A6F" w:rsidP="000A3332">
      <w:pPr>
        <w:pStyle w:val="ListParagraph"/>
        <w:rPr>
          <w:lang w:val="en-AU"/>
        </w:rPr>
      </w:pPr>
      <w:r w:rsidRPr="00E3754A">
        <w:rPr>
          <w:lang w:val="en-AU"/>
        </w:rPr>
        <w:t>Smetanka, L. (2015). From Theory to Practice: Supported Decision-Making and Financial Decisions. Powerpoint presented at the 2016 Webinar Series 2: From Theory to Practice: Supported Decision-Making and Financial Decisions. Retrieved from http://supporteddecisionmaking.org/events/webinar-series-theory-practice-supported-decision-making-and-financial-decisions</w:t>
      </w:r>
    </w:p>
    <w:p w14:paraId="39876261" w14:textId="70A19D02" w:rsidR="00E40DBA" w:rsidRPr="00E3754A" w:rsidRDefault="00E40DBA" w:rsidP="000A3332">
      <w:pPr>
        <w:pStyle w:val="ListParagraph"/>
        <w:rPr>
          <w:lang w:val="en-AU"/>
        </w:rPr>
      </w:pPr>
      <w:r w:rsidRPr="00E3754A">
        <w:rPr>
          <w:lang w:val="en-AU"/>
        </w:rPr>
        <w:t xml:space="preserve">Stainton, T. (2015). Supported decision-making in Canada: principles, policy, and practice. </w:t>
      </w:r>
      <w:r w:rsidRPr="00E3754A">
        <w:rPr>
          <w:i/>
          <w:lang w:val="en-AU"/>
        </w:rPr>
        <w:t>Research and Practice in Intellectual and Developmental Disabilities</w:t>
      </w:r>
      <w:r w:rsidRPr="00E3754A">
        <w:rPr>
          <w:lang w:val="en-AU"/>
        </w:rPr>
        <w:t xml:space="preserve">, </w:t>
      </w:r>
      <w:r w:rsidRPr="00E3754A">
        <w:rPr>
          <w:i/>
          <w:lang w:val="en-AU"/>
        </w:rPr>
        <w:t>3</w:t>
      </w:r>
      <w:r w:rsidRPr="00E3754A">
        <w:rPr>
          <w:lang w:val="en-AU"/>
        </w:rPr>
        <w:t>(1), 1–11. http://doi.org/10.1080/23297018.2015.1063447</w:t>
      </w:r>
    </w:p>
    <w:p w14:paraId="0898A5D9" w14:textId="2E54F299" w:rsidR="000A3332" w:rsidRPr="00E3754A" w:rsidRDefault="000A3332" w:rsidP="000A3332">
      <w:pPr>
        <w:pStyle w:val="ListParagraph"/>
        <w:rPr>
          <w:lang w:val="en-AU"/>
        </w:rPr>
      </w:pPr>
      <w:r w:rsidRPr="00E3754A">
        <w:rPr>
          <w:lang w:val="en-AU"/>
        </w:rPr>
        <w:t>Statistics NZ. (2014). Key Findings from the 2013 New Zealand Disability Survey – A4 Brochure. Retrieved from http://www.stats.govt.nz/browse_for_stats/health/disabilities/other-versions-disability-survey-2013.aspx.</w:t>
      </w:r>
    </w:p>
    <w:p w14:paraId="6E2BBAA2" w14:textId="0DC8B83E" w:rsidR="00FC7A83" w:rsidRPr="00E3754A" w:rsidRDefault="00FC7A83" w:rsidP="00AB685C">
      <w:pPr>
        <w:pStyle w:val="ListParagraph"/>
        <w:rPr>
          <w:lang w:val="en-AU"/>
        </w:rPr>
      </w:pPr>
      <w:r w:rsidRPr="00E3754A">
        <w:rPr>
          <w:lang w:val="en-AU"/>
        </w:rPr>
        <w:t>Stavert, J. (n.d.)</w:t>
      </w:r>
      <w:r w:rsidR="00F61928" w:rsidRPr="00E3754A">
        <w:rPr>
          <w:lang w:val="en-AU"/>
        </w:rPr>
        <w:t>. Submission to Committee on the Rights of Persons with Disabilities on the Draft General Comment on Article 12. Retrieved from</w:t>
      </w:r>
      <w:r w:rsidRPr="00E3754A">
        <w:rPr>
          <w:lang w:val="en-AU"/>
        </w:rPr>
        <w:t xml:space="preserve"> http://www.ohchr.org/EN/HRBodies/CRPD/Pages/DGCArticles12And9.aspx</w:t>
      </w:r>
    </w:p>
    <w:p w14:paraId="6802520D" w14:textId="2CD425D6" w:rsidR="00E4235B" w:rsidRPr="00E3754A" w:rsidRDefault="00B5109A" w:rsidP="00AB685C">
      <w:pPr>
        <w:pStyle w:val="ListParagraph"/>
        <w:rPr>
          <w:lang w:val="en-AU"/>
        </w:rPr>
      </w:pPr>
      <w:r w:rsidRPr="00E3754A">
        <w:rPr>
          <w:lang w:val="en-AU"/>
        </w:rPr>
        <w:t xml:space="preserve">Stavert, J. (2015). The Exercise of Legal Capacity, Supported Decision-Making and Scotland’s Mental Health and Incapacity Legislation: Working with CRPD Challenges. </w:t>
      </w:r>
      <w:r w:rsidRPr="00E3754A">
        <w:rPr>
          <w:i/>
          <w:lang w:val="en-AU"/>
        </w:rPr>
        <w:t>Laws</w:t>
      </w:r>
      <w:r w:rsidRPr="00E3754A">
        <w:rPr>
          <w:lang w:val="en-AU"/>
        </w:rPr>
        <w:t>, 4(2)</w:t>
      </w:r>
      <w:r w:rsidR="00DD05AD" w:rsidRPr="00E3754A">
        <w:rPr>
          <w:lang w:val="en-AU"/>
        </w:rPr>
        <w:t xml:space="preserve">, </w:t>
      </w:r>
      <w:r w:rsidRPr="00E3754A">
        <w:rPr>
          <w:lang w:val="en-AU"/>
        </w:rPr>
        <w:t>296–313. doi:10.3390/laws4020296</w:t>
      </w:r>
    </w:p>
    <w:p w14:paraId="574E769B" w14:textId="7DC41FBB" w:rsidR="003E2039" w:rsidRPr="00E3754A" w:rsidRDefault="003E2039" w:rsidP="008770BC">
      <w:pPr>
        <w:pStyle w:val="ListParagraph"/>
        <w:rPr>
          <w:lang w:val="en-AU"/>
        </w:rPr>
      </w:pPr>
      <w:r w:rsidRPr="00E3754A">
        <w:rPr>
          <w:lang w:val="en-AU"/>
        </w:rPr>
        <w:t>Stein, M. A., &amp; Lord, J. E. (</w:t>
      </w:r>
      <w:r w:rsidR="00E4235B" w:rsidRPr="00E3754A">
        <w:rPr>
          <w:lang w:val="en-AU"/>
        </w:rPr>
        <w:t>2008</w:t>
      </w:r>
      <w:r w:rsidRPr="00E3754A">
        <w:rPr>
          <w:lang w:val="en-AU"/>
        </w:rPr>
        <w:t xml:space="preserve">). </w:t>
      </w:r>
      <w:r w:rsidR="00E4235B" w:rsidRPr="00E3754A">
        <w:rPr>
          <w:lang w:val="en-AU"/>
        </w:rPr>
        <w:t>Jacobus tenBroek, Participatory Justice, and the UN Convention on the Rights of Persons with Disabilities</w:t>
      </w:r>
      <w:r w:rsidRPr="00E3754A">
        <w:rPr>
          <w:lang w:val="en-AU"/>
        </w:rPr>
        <w:t xml:space="preserve">. </w:t>
      </w:r>
      <w:r w:rsidR="00E4235B" w:rsidRPr="00E3754A">
        <w:rPr>
          <w:i/>
          <w:lang w:val="en-AU"/>
        </w:rPr>
        <w:t>Texas Journal on Civil Liberties &amp; Civil Rights</w:t>
      </w:r>
      <w:r w:rsidRPr="00E3754A">
        <w:rPr>
          <w:i/>
          <w:lang w:val="en-AU"/>
        </w:rPr>
        <w:t xml:space="preserve">, </w:t>
      </w:r>
      <w:r w:rsidR="00E4235B" w:rsidRPr="00E3754A">
        <w:rPr>
          <w:i/>
          <w:lang w:val="en-AU"/>
        </w:rPr>
        <w:t>13</w:t>
      </w:r>
      <w:r w:rsidR="00E4235B" w:rsidRPr="00E3754A">
        <w:rPr>
          <w:lang w:val="en-AU"/>
        </w:rPr>
        <w:t>(2),</w:t>
      </w:r>
      <w:r w:rsidRPr="00E3754A">
        <w:rPr>
          <w:lang w:val="en-AU"/>
        </w:rPr>
        <w:t xml:space="preserve"> </w:t>
      </w:r>
      <w:r w:rsidR="00E4235B" w:rsidRPr="00E3754A">
        <w:rPr>
          <w:lang w:val="en-AU"/>
        </w:rPr>
        <w:t>168</w:t>
      </w:r>
      <w:r w:rsidRPr="00E3754A">
        <w:rPr>
          <w:lang w:val="en-AU"/>
        </w:rPr>
        <w:t>-</w:t>
      </w:r>
      <w:r w:rsidR="00E4235B" w:rsidRPr="00E3754A">
        <w:rPr>
          <w:lang w:val="en-AU"/>
        </w:rPr>
        <w:t>185</w:t>
      </w:r>
      <w:r w:rsidRPr="00E3754A">
        <w:rPr>
          <w:lang w:val="en-AU"/>
        </w:rPr>
        <w:t>.</w:t>
      </w:r>
    </w:p>
    <w:p w14:paraId="6B670C0B" w14:textId="53F1FC3D" w:rsidR="00F37762" w:rsidRPr="00E3754A" w:rsidRDefault="00F37762" w:rsidP="008770BC">
      <w:pPr>
        <w:pStyle w:val="ListParagraph"/>
        <w:rPr>
          <w:lang w:val="en-AU"/>
        </w:rPr>
      </w:pPr>
      <w:r w:rsidRPr="00E3754A">
        <w:rPr>
          <w:lang w:val="en-AU"/>
        </w:rPr>
        <w:t xml:space="preserve">Supported Decision-Making Alternatives to Guardianship. (n.d.). Retrieved from http://www.tcdd.texas.gov/resources/guardianship-alternatives/supported-decision-making/ </w:t>
      </w:r>
    </w:p>
    <w:p w14:paraId="223AE5F7" w14:textId="20159684" w:rsidR="00644D9F" w:rsidRPr="00E3754A" w:rsidRDefault="00644D9F" w:rsidP="00AB685C">
      <w:pPr>
        <w:pStyle w:val="ListParagraph"/>
        <w:rPr>
          <w:lang w:val="en-AU"/>
        </w:rPr>
      </w:pPr>
      <w:r w:rsidRPr="00E3754A">
        <w:rPr>
          <w:lang w:val="en-AU"/>
        </w:rPr>
        <w:t>The Scottish Government. (2013). Independent Advocacy Guide for Commissioners. Retrieved from http://www.gov.scot/Resource/0044/00441045.pdf</w:t>
      </w:r>
    </w:p>
    <w:p w14:paraId="65618459" w14:textId="7A34BA67" w:rsidR="00EF0527" w:rsidRPr="00E3754A" w:rsidRDefault="00EF0527" w:rsidP="00AB685C">
      <w:pPr>
        <w:pStyle w:val="ListParagraph"/>
        <w:rPr>
          <w:lang w:val="en-AU"/>
        </w:rPr>
      </w:pPr>
      <w:r w:rsidRPr="00E3754A">
        <w:rPr>
          <w:lang w:val="en-AU"/>
        </w:rPr>
        <w:t xml:space="preserve">Tracy, J. (2015). Supporting Nick to Make Decisions: An Exploration of Ways to Promote Choice and Control. </w:t>
      </w:r>
      <w:r w:rsidRPr="00E3754A">
        <w:rPr>
          <w:i/>
          <w:lang w:val="en-AU"/>
        </w:rPr>
        <w:t>Research and Practice in Intellectual and Developmental Disabilities</w:t>
      </w:r>
      <w:r w:rsidRPr="00E3754A">
        <w:rPr>
          <w:lang w:val="en-AU"/>
        </w:rPr>
        <w:t xml:space="preserve">, </w:t>
      </w:r>
      <w:r w:rsidRPr="00E3754A">
        <w:rPr>
          <w:i/>
          <w:lang w:val="en-AU"/>
        </w:rPr>
        <w:t>2</w:t>
      </w:r>
      <w:r w:rsidRPr="00E3754A">
        <w:rPr>
          <w:lang w:val="en-AU"/>
        </w:rPr>
        <w:t>(1), 29–36. http://doi.org/10.1080/23297018.2015.1028091</w:t>
      </w:r>
    </w:p>
    <w:p w14:paraId="65DC2681" w14:textId="651F0AE7" w:rsidR="006274F3" w:rsidRPr="00E3754A" w:rsidRDefault="006274F3" w:rsidP="00AB685C">
      <w:pPr>
        <w:pStyle w:val="ListParagraph"/>
        <w:rPr>
          <w:lang w:val="en-AU"/>
        </w:rPr>
      </w:pPr>
      <w:r w:rsidRPr="00E3754A">
        <w:rPr>
          <w:lang w:val="en-AU"/>
        </w:rPr>
        <w:t xml:space="preserve">Umeasiegbu, V. I., Bishop, M., &amp; Mpofu, E. (2013). The Conventional and Unconventional About Disability Conventions: A Reflective Analysis of United Nations Convention on the Rights of Persons With Disabilities. </w:t>
      </w:r>
      <w:r w:rsidRPr="00E3754A">
        <w:rPr>
          <w:i/>
          <w:lang w:val="en-AU"/>
        </w:rPr>
        <w:t>Rehabilitation Research, Policy, and Education</w:t>
      </w:r>
      <w:r w:rsidRPr="00E3754A">
        <w:rPr>
          <w:lang w:val="en-AU"/>
        </w:rPr>
        <w:t xml:space="preserve">, </w:t>
      </w:r>
      <w:r w:rsidRPr="00E3754A">
        <w:rPr>
          <w:i/>
          <w:lang w:val="en-AU"/>
        </w:rPr>
        <w:t>27</w:t>
      </w:r>
      <w:r w:rsidRPr="00E3754A">
        <w:rPr>
          <w:lang w:val="en-AU"/>
        </w:rPr>
        <w:t>(1), 58–72. http://doi.org/10.1891/2168-6653.27.1.58</w:t>
      </w:r>
    </w:p>
    <w:p w14:paraId="658E4B35" w14:textId="2C1EBD03" w:rsidR="007A33EA" w:rsidRPr="00E3754A" w:rsidRDefault="007A33EA" w:rsidP="00AB685C">
      <w:pPr>
        <w:pStyle w:val="ListParagraph"/>
        <w:rPr>
          <w:lang w:val="en-AU"/>
        </w:rPr>
      </w:pPr>
      <w:r w:rsidRPr="00E3754A">
        <w:rPr>
          <w:lang w:val="en-AU"/>
        </w:rPr>
        <w:t>United Nations Convention on Rights of Persons with Disabilities</w:t>
      </w:r>
      <w:r w:rsidR="00B64000" w:rsidRPr="00E3754A">
        <w:rPr>
          <w:lang w:val="en-AU"/>
        </w:rPr>
        <w:t>.</w:t>
      </w:r>
      <w:r w:rsidR="004A72EE" w:rsidRPr="00E3754A">
        <w:rPr>
          <w:lang w:val="en-AU"/>
        </w:rPr>
        <w:t xml:space="preserve"> (2016)</w:t>
      </w:r>
      <w:r w:rsidR="00B64000" w:rsidRPr="00E3754A">
        <w:rPr>
          <w:lang w:val="en-AU"/>
        </w:rPr>
        <w:t>. In Office for Disability Issues. Retrieved from http://www.odi.govt.nz/what-we-do/un-convention/</w:t>
      </w:r>
    </w:p>
    <w:p w14:paraId="3245EF1D" w14:textId="17AF149D" w:rsidR="00B64000" w:rsidRPr="00E3754A" w:rsidRDefault="00B64000" w:rsidP="00AB685C">
      <w:pPr>
        <w:pStyle w:val="ListParagraph"/>
        <w:rPr>
          <w:lang w:val="en-AU"/>
        </w:rPr>
      </w:pPr>
      <w:r w:rsidRPr="00E3754A">
        <w:rPr>
          <w:lang w:val="en-AU"/>
        </w:rPr>
        <w:t>Up to today, 166 States Parties ratified the UN CRPD. (2016). In The International Federation for Spina Bifida and Hydrocephalus. Retrieved from http://www.ifglobal.org/en/37-temp-news/4793-up-to-today-166-states-parties-ratified-the-un-crpd</w:t>
      </w:r>
    </w:p>
    <w:p w14:paraId="3AA25F96" w14:textId="64E0E2D9" w:rsidR="00AE0EC1" w:rsidRPr="00E3754A" w:rsidRDefault="00AE0EC1" w:rsidP="00AB685C">
      <w:pPr>
        <w:pStyle w:val="ListParagraph"/>
        <w:rPr>
          <w:lang w:val="en-AU"/>
        </w:rPr>
      </w:pPr>
      <w:r w:rsidRPr="00E3754A">
        <w:rPr>
          <w:lang w:val="en-AU"/>
        </w:rPr>
        <w:t>Victorian Law Reform Commission. (2012). Chapter 9 Co-decision making. Retrieved from http://www.lawreform.vic.gov.au/sites/default/files/Guardianship_FinalReport_Ch%209_Co-decision%20making.pdf</w:t>
      </w:r>
    </w:p>
    <w:p w14:paraId="0B09AFC4" w14:textId="7B2D9362" w:rsidR="00A86063" w:rsidRPr="00E3754A" w:rsidRDefault="00A86063" w:rsidP="00AB685C">
      <w:pPr>
        <w:pStyle w:val="ListParagraph"/>
        <w:rPr>
          <w:lang w:val="en-AU"/>
        </w:rPr>
      </w:pPr>
      <w:r w:rsidRPr="00E3754A">
        <w:rPr>
          <w:lang w:val="en-AU"/>
        </w:rPr>
        <w:t xml:space="preserve">Wade, N. (2016). Are we equal yet? </w:t>
      </w:r>
      <w:r w:rsidRPr="00E3754A">
        <w:rPr>
          <w:i/>
          <w:lang w:val="en-AU"/>
        </w:rPr>
        <w:t>Alternative Law Journal,</w:t>
      </w:r>
      <w:r w:rsidRPr="00E3754A">
        <w:rPr>
          <w:lang w:val="en-AU"/>
        </w:rPr>
        <w:t xml:space="preserve"> </w:t>
      </w:r>
      <w:r w:rsidRPr="00E3754A">
        <w:rPr>
          <w:i/>
          <w:lang w:val="en-AU"/>
        </w:rPr>
        <w:t>41</w:t>
      </w:r>
      <w:r w:rsidRPr="00E3754A">
        <w:rPr>
          <w:lang w:val="en-AU"/>
        </w:rPr>
        <w:t>(1), 34–38.</w:t>
      </w:r>
      <w:r w:rsidR="00D13D12" w:rsidRPr="00E3754A">
        <w:rPr>
          <w:lang w:val="en-AU"/>
        </w:rPr>
        <w:t xml:space="preserve"> Retrieved from http://search.informit.com.au/documentSummary;dn=032550245013672;res=IELHSS</w:t>
      </w:r>
    </w:p>
    <w:p w14:paraId="1FAB7710" w14:textId="61FC8483" w:rsidR="00D80AC4" w:rsidRPr="00E3754A" w:rsidRDefault="00D80AC4" w:rsidP="00AB685C">
      <w:pPr>
        <w:pStyle w:val="ListParagraph"/>
        <w:rPr>
          <w:lang w:val="en-AU"/>
        </w:rPr>
      </w:pPr>
      <w:r w:rsidRPr="00E3754A">
        <w:rPr>
          <w:lang w:val="en-AU"/>
        </w:rPr>
        <w:t xml:space="preserve">Wagemans, A. M. A., van Schrojenstein Lantman-de Valk, H. M. J., Proot, I. M., Metsemakers, J., Tuffrey-Wijne, I., &amp; Curfs, L. M. G. (2015). End-of-Life Decision-Making for People With Intellectual Disability From the Perspective of Nurses. </w:t>
      </w:r>
      <w:r w:rsidRPr="00E3754A">
        <w:rPr>
          <w:i/>
          <w:lang w:val="en-AU"/>
        </w:rPr>
        <w:t>Journal of Policy and Practice in Intellectual Disabilities</w:t>
      </w:r>
      <w:r w:rsidRPr="00E3754A">
        <w:rPr>
          <w:lang w:val="en-AU"/>
        </w:rPr>
        <w:t xml:space="preserve">, </w:t>
      </w:r>
      <w:r w:rsidRPr="00E3754A">
        <w:rPr>
          <w:i/>
          <w:lang w:val="en-AU"/>
        </w:rPr>
        <w:t>12</w:t>
      </w:r>
      <w:r w:rsidRPr="00E3754A">
        <w:rPr>
          <w:lang w:val="en-AU"/>
        </w:rPr>
        <w:t>(4), 294–302. http://doi.org/10.1111/jppi.12140</w:t>
      </w:r>
    </w:p>
    <w:p w14:paraId="2516B9DC" w14:textId="26337EE6" w:rsidR="007E2D7B" w:rsidRPr="00E3754A" w:rsidRDefault="007E2D7B" w:rsidP="00AB685C">
      <w:pPr>
        <w:pStyle w:val="ListParagraph"/>
        <w:rPr>
          <w:lang w:val="en-AU"/>
        </w:rPr>
      </w:pPr>
      <w:r w:rsidRPr="00E3754A">
        <w:rPr>
          <w:lang w:val="en-AU"/>
        </w:rPr>
        <w:t xml:space="preserve">Watson, </w:t>
      </w:r>
      <w:r w:rsidR="00DD05AD" w:rsidRPr="00E3754A">
        <w:rPr>
          <w:lang w:val="en-AU"/>
        </w:rPr>
        <w:t>J.</w:t>
      </w:r>
      <w:r w:rsidRPr="00E3754A">
        <w:rPr>
          <w:lang w:val="en-AU"/>
        </w:rPr>
        <w:t xml:space="preserve"> (2016</w:t>
      </w:r>
      <w:r w:rsidR="00613A02" w:rsidRPr="00E3754A">
        <w:rPr>
          <w:lang w:val="en-AU"/>
        </w:rPr>
        <w:t>a</w:t>
      </w:r>
      <w:r w:rsidRPr="00E3754A">
        <w:rPr>
          <w:lang w:val="en-AU"/>
        </w:rPr>
        <w:t>). The Right to Supported Decision-Making for People Rarely Heard. (Doctoral thesis, Deakin University, Victoria, Australia). Retrieved from https://www.researchgate.net/publication/258997358.</w:t>
      </w:r>
    </w:p>
    <w:p w14:paraId="2097FD19" w14:textId="7D2F8E57" w:rsidR="00613A02" w:rsidRPr="00E3754A" w:rsidRDefault="00613A02" w:rsidP="00AB685C">
      <w:pPr>
        <w:pStyle w:val="ListParagraph"/>
        <w:rPr>
          <w:lang w:val="en-AU"/>
        </w:rPr>
      </w:pPr>
      <w:r w:rsidRPr="00E3754A">
        <w:rPr>
          <w:lang w:val="en-AU"/>
        </w:rPr>
        <w:t xml:space="preserve">Watson, J. (2016b). Assumptions of Decision-Making Capacity: The Role Supporter Attitudes Play in the Realisation of Article 12 for People with Severe or Profound Intellectual Disability. </w:t>
      </w:r>
      <w:r w:rsidRPr="00E3754A">
        <w:rPr>
          <w:i/>
          <w:lang w:val="en-AU"/>
        </w:rPr>
        <w:t>Laws</w:t>
      </w:r>
      <w:r w:rsidRPr="00E3754A">
        <w:rPr>
          <w:lang w:val="en-AU"/>
        </w:rPr>
        <w:t xml:space="preserve">, </w:t>
      </w:r>
      <w:r w:rsidRPr="00E3754A">
        <w:rPr>
          <w:i/>
          <w:lang w:val="en-AU"/>
        </w:rPr>
        <w:t>5</w:t>
      </w:r>
      <w:r w:rsidRPr="00E3754A">
        <w:rPr>
          <w:lang w:val="en-AU"/>
        </w:rPr>
        <w:t>(6). http://doi.org/10.3390/laws5010006</w:t>
      </w:r>
    </w:p>
    <w:p w14:paraId="23A05EBC" w14:textId="67CDD815" w:rsidR="00881E28" w:rsidRPr="00E3754A" w:rsidRDefault="00881E28" w:rsidP="00AB685C">
      <w:pPr>
        <w:pStyle w:val="ListParagraph"/>
        <w:rPr>
          <w:lang w:val="en-AU"/>
        </w:rPr>
      </w:pPr>
      <w:r w:rsidRPr="00E3754A">
        <w:rPr>
          <w:lang w:val="en-AU"/>
        </w:rPr>
        <w:t>Watson, J. (2013). Submission by Scope in response to the National Disability Insurance Scheme Rules Consultation paper. Scope. Retrieved from https://www.researchgate.net/publication/282137100_Watson_J_2013_Submission_by_Scope_in_response_to_the_National_Disability_Insurance_Scheme_Rules_Consultation_Paper_Melbourne_Scope</w:t>
      </w:r>
    </w:p>
    <w:p w14:paraId="3140B26C" w14:textId="6C7548E9" w:rsidR="00C72FF9" w:rsidRPr="00E3754A" w:rsidRDefault="00C72FF9" w:rsidP="00AB685C">
      <w:pPr>
        <w:pStyle w:val="ListParagraph"/>
        <w:rPr>
          <w:lang w:val="en-AU"/>
        </w:rPr>
      </w:pPr>
      <w:r w:rsidRPr="00E3754A">
        <w:rPr>
          <w:lang w:val="en-AU"/>
        </w:rPr>
        <w:t xml:space="preserve">Weller, P. (2014). Reconsidering legal capacity: radical critiques, governmentality and dividing practice. </w:t>
      </w:r>
      <w:r w:rsidRPr="00E3754A">
        <w:rPr>
          <w:i/>
          <w:lang w:val="en-AU"/>
        </w:rPr>
        <w:t>Griffith Law Review</w:t>
      </w:r>
      <w:r w:rsidRPr="00E3754A">
        <w:rPr>
          <w:lang w:val="en-AU"/>
        </w:rPr>
        <w:t xml:space="preserve">, </w:t>
      </w:r>
      <w:r w:rsidRPr="00E3754A">
        <w:rPr>
          <w:i/>
          <w:lang w:val="en-AU"/>
        </w:rPr>
        <w:t>23</w:t>
      </w:r>
      <w:r w:rsidRPr="00E3754A">
        <w:rPr>
          <w:lang w:val="en-AU"/>
        </w:rPr>
        <w:t>(3), 498–518. http://doi.org/10.1080/10383441.2014.993499</w:t>
      </w:r>
    </w:p>
    <w:p w14:paraId="779F72D0" w14:textId="3A62C82E" w:rsidR="00210618" w:rsidRPr="00E3754A" w:rsidRDefault="00210618" w:rsidP="00AB685C">
      <w:pPr>
        <w:pStyle w:val="ListParagraph"/>
        <w:rPr>
          <w:lang w:val="en-AU"/>
        </w:rPr>
      </w:pPr>
      <w:r w:rsidRPr="00E3754A">
        <w:rPr>
          <w:lang w:val="en-AU"/>
        </w:rPr>
        <w:t xml:space="preserve">Werner, S. (2012). Individuals with Intellectual Disabilities: A Review of the Literature on Decision-Making since the Convention on the Rights of People with Disabilities (CRPD). </w:t>
      </w:r>
      <w:r w:rsidRPr="00E3754A">
        <w:rPr>
          <w:i/>
          <w:lang w:val="en-AU"/>
        </w:rPr>
        <w:t>Public Health Reviews</w:t>
      </w:r>
      <w:r w:rsidRPr="00E3754A">
        <w:rPr>
          <w:lang w:val="en-AU"/>
        </w:rPr>
        <w:t xml:space="preserve">, </w:t>
      </w:r>
      <w:r w:rsidRPr="00E3754A">
        <w:rPr>
          <w:i/>
          <w:lang w:val="en-AU"/>
        </w:rPr>
        <w:t>34</w:t>
      </w:r>
      <w:r w:rsidRPr="00E3754A">
        <w:rPr>
          <w:lang w:val="en-AU"/>
        </w:rPr>
        <w:t>(2). Retrieved from http://www.publichealthreviews.eu/show/f/103</w:t>
      </w:r>
    </w:p>
    <w:p w14:paraId="09EB8237" w14:textId="5C87B9A9" w:rsidR="00DD05AD" w:rsidRPr="00E3754A" w:rsidRDefault="008F6B7A" w:rsidP="00AB685C">
      <w:pPr>
        <w:pStyle w:val="ListParagraph"/>
        <w:rPr>
          <w:lang w:val="en-AU"/>
        </w:rPr>
      </w:pPr>
      <w:r w:rsidRPr="00E3754A">
        <w:rPr>
          <w:lang w:val="en-AU"/>
        </w:rPr>
        <w:t xml:space="preserve">Werner, S., </w:t>
      </w:r>
      <w:r w:rsidRPr="00E3754A">
        <w:rPr>
          <w:bCs/>
          <w:lang w:val="en-AU"/>
        </w:rPr>
        <w:t>Stawski, M., Polakiewicz, Y., &amp; Levav, I</w:t>
      </w:r>
      <w:r w:rsidRPr="00E3754A">
        <w:rPr>
          <w:lang w:val="en-AU"/>
        </w:rPr>
        <w:t xml:space="preserve">. </w:t>
      </w:r>
      <w:r w:rsidR="00DD05AD" w:rsidRPr="00E3754A">
        <w:rPr>
          <w:lang w:val="en-AU"/>
        </w:rPr>
        <w:t xml:space="preserve">(2013). Psychiatrists’ knowledge, training and attitudes regarding the care of individuals with intellectual disability. </w:t>
      </w:r>
      <w:r w:rsidR="00DD05AD" w:rsidRPr="00E3754A">
        <w:rPr>
          <w:i/>
          <w:lang w:val="en-AU"/>
        </w:rPr>
        <w:t>Journal of Intellectual Disability Research</w:t>
      </w:r>
      <w:r w:rsidR="00DD05AD" w:rsidRPr="00E3754A">
        <w:rPr>
          <w:lang w:val="en-AU"/>
        </w:rPr>
        <w:t xml:space="preserve">, </w:t>
      </w:r>
      <w:r w:rsidR="00DD05AD" w:rsidRPr="00E3754A">
        <w:rPr>
          <w:i/>
          <w:lang w:val="en-AU"/>
        </w:rPr>
        <w:t>57</w:t>
      </w:r>
      <w:r w:rsidR="00DD05AD" w:rsidRPr="00E3754A">
        <w:rPr>
          <w:lang w:val="en-AU"/>
        </w:rPr>
        <w:t>(8), 774–782. http://doi.org/10.1111/j.1365-2788.2012.01604.x</w:t>
      </w:r>
    </w:p>
    <w:p w14:paraId="5558AA19" w14:textId="45BC38B6" w:rsidR="00554D6F" w:rsidRPr="00E3754A" w:rsidRDefault="00554D6F" w:rsidP="00AB685C">
      <w:pPr>
        <w:pStyle w:val="ListParagraph"/>
        <w:rPr>
          <w:lang w:val="en-AU"/>
        </w:rPr>
      </w:pPr>
      <w:r w:rsidRPr="00E3754A">
        <w:rPr>
          <w:lang w:val="en-AU"/>
        </w:rPr>
        <w:t xml:space="preserve">Werner, S., &amp; Chabany, R. (2015). Guardianship Law Versus Supported Decision- Making Policies: Perceptions of Persons With Intellectual or Psychiatric Disabilities and Parents. </w:t>
      </w:r>
      <w:r w:rsidRPr="00E3754A">
        <w:rPr>
          <w:i/>
          <w:lang w:val="en-AU"/>
        </w:rPr>
        <w:t>American Journal of Orthopsychiatry</w:t>
      </w:r>
      <w:r w:rsidRPr="00E3754A">
        <w:rPr>
          <w:lang w:val="en-AU"/>
        </w:rPr>
        <w:t>. http://doi.org/10.1037/ort0000125</w:t>
      </w:r>
    </w:p>
    <w:p w14:paraId="3F37E4E8" w14:textId="7858F49B" w:rsidR="00B1788E" w:rsidRPr="00E3754A" w:rsidRDefault="00B1788E" w:rsidP="00AB685C">
      <w:pPr>
        <w:pStyle w:val="ListParagraph"/>
        <w:rPr>
          <w:lang w:val="en-AU"/>
        </w:rPr>
      </w:pPr>
      <w:r w:rsidRPr="00E3754A">
        <w:rPr>
          <w:lang w:val="en-AU"/>
        </w:rPr>
        <w:t>Whitlatch, M. K. (2016, May). Moving supported decision-making into policy &amp; practice. Powerpoint presented at the 2016 Webinar Series I: From Theory to Practice: Supported Decision-Making in Education. Retrieved from http://supporteddecisionmaking.org/node/398</w:t>
      </w:r>
    </w:p>
    <w:p w14:paraId="3C9052D7" w14:textId="2AEF3559" w:rsidR="00116DE8" w:rsidRPr="00E3754A" w:rsidRDefault="00D23A45" w:rsidP="00AB685C">
      <w:pPr>
        <w:pStyle w:val="ListParagraph"/>
        <w:rPr>
          <w:lang w:val="en-AU"/>
        </w:rPr>
      </w:pPr>
      <w:r w:rsidRPr="00E3754A">
        <w:rPr>
          <w:lang w:val="en-AU"/>
        </w:rPr>
        <w:t>Whittemore, R</w:t>
      </w:r>
      <w:r w:rsidR="001777DD" w:rsidRPr="00E3754A">
        <w:rPr>
          <w:lang w:val="en-AU"/>
        </w:rPr>
        <w:t>.</w:t>
      </w:r>
      <w:r w:rsidRPr="00E3754A">
        <w:rPr>
          <w:lang w:val="en-AU"/>
        </w:rPr>
        <w:t xml:space="preserve">, &amp; Knafl, </w:t>
      </w:r>
      <w:r w:rsidR="001777DD" w:rsidRPr="00E3754A">
        <w:rPr>
          <w:lang w:val="en-AU"/>
        </w:rPr>
        <w:t>K. (2005). The integrative review: updated methodology.</w:t>
      </w:r>
      <w:r w:rsidR="001777DD" w:rsidRPr="00E3754A">
        <w:rPr>
          <w:i/>
          <w:lang w:val="en-AU"/>
        </w:rPr>
        <w:t xml:space="preserve"> Journal of Advanced Nursing</w:t>
      </w:r>
      <w:r w:rsidR="001777DD" w:rsidRPr="00E3754A">
        <w:rPr>
          <w:lang w:val="en-AU"/>
        </w:rPr>
        <w:t xml:space="preserve">, </w:t>
      </w:r>
      <w:r w:rsidR="001777DD" w:rsidRPr="00E3754A">
        <w:rPr>
          <w:i/>
          <w:lang w:val="en-AU"/>
        </w:rPr>
        <w:t>52</w:t>
      </w:r>
      <w:r w:rsidR="001777DD" w:rsidRPr="00E3754A">
        <w:rPr>
          <w:lang w:val="en-AU"/>
        </w:rPr>
        <w:t>(5), 546-553.</w:t>
      </w:r>
    </w:p>
    <w:p w14:paraId="46D1CD46" w14:textId="47720191" w:rsidR="00A511FA" w:rsidRPr="00E3754A" w:rsidRDefault="00A511FA" w:rsidP="00AB685C">
      <w:pPr>
        <w:pStyle w:val="ListParagraph"/>
        <w:rPr>
          <w:lang w:val="en-AU"/>
        </w:rPr>
      </w:pPr>
      <w:r w:rsidRPr="00E3754A">
        <w:rPr>
          <w:lang w:val="en-AU"/>
        </w:rPr>
        <w:t xml:space="preserve">Willner, P. (2011). Capacity and competence: limitations on choice and action. </w:t>
      </w:r>
      <w:r w:rsidRPr="00E3754A">
        <w:rPr>
          <w:i/>
          <w:lang w:val="en-AU"/>
        </w:rPr>
        <w:t>Advances in Mental Health and Intellectual Disabilities, 5</w:t>
      </w:r>
      <w:r w:rsidRPr="00E3754A">
        <w:rPr>
          <w:lang w:val="en-AU"/>
        </w:rPr>
        <w:t>(6), 49-56. doi:10.1108/20441281111187207</w:t>
      </w:r>
    </w:p>
    <w:p w14:paraId="3B2CD249" w14:textId="399B5EE7" w:rsidR="007C36EC" w:rsidRPr="00E3754A" w:rsidRDefault="007C36EC" w:rsidP="00AB685C">
      <w:pPr>
        <w:pStyle w:val="ListParagraph"/>
        <w:rPr>
          <w:lang w:val="en-AU"/>
        </w:rPr>
      </w:pPr>
      <w:r w:rsidRPr="00E3754A">
        <w:rPr>
          <w:lang w:val="en-AU"/>
        </w:rPr>
        <w:t xml:space="preserve">Williamson, T. (2007). Capacity to protect – the Mental Capacity Act explained. </w:t>
      </w:r>
      <w:r w:rsidRPr="00E3754A">
        <w:rPr>
          <w:i/>
          <w:lang w:val="en-AU"/>
        </w:rPr>
        <w:t>Journal of Adult protection, 9</w:t>
      </w:r>
      <w:r w:rsidRPr="00E3754A">
        <w:rPr>
          <w:lang w:val="en-AU"/>
        </w:rPr>
        <w:t>(1), 25-32.</w:t>
      </w:r>
    </w:p>
    <w:p w14:paraId="6BFE1A08" w14:textId="6E2EA450" w:rsidR="00063853" w:rsidRPr="00E3754A" w:rsidRDefault="00063853" w:rsidP="00AB685C">
      <w:pPr>
        <w:pStyle w:val="ListParagraph"/>
        <w:rPr>
          <w:lang w:val="en-AU"/>
        </w:rPr>
      </w:pPr>
      <w:r w:rsidRPr="00E3754A">
        <w:rPr>
          <w:lang w:val="en-AU"/>
        </w:rPr>
        <w:t>WNUSP. (2008). Implementation manual for the United Nations convention on the rights of persons with disabilities. Retrieved from http://www.enusp.org/index.php/declarations/153-wnusp-implementation-manual-for-the-united-nations-convention-on-the-righs-of-persons-with-disabilities-pdf-256-kb</w:t>
      </w:r>
    </w:p>
    <w:p w14:paraId="226590E5" w14:textId="7E008614" w:rsidR="006E2249" w:rsidRPr="00E3754A" w:rsidRDefault="006E2249" w:rsidP="00AB685C">
      <w:pPr>
        <w:pStyle w:val="ListParagraph"/>
        <w:rPr>
          <w:lang w:val="en-AU"/>
        </w:rPr>
      </w:pPr>
      <w:r w:rsidRPr="00E3754A">
        <w:rPr>
          <w:lang w:val="en-AU"/>
        </w:rPr>
        <w:t xml:space="preserve">Wong, J. G. W. S., Clare, I. C. H., Gunn, M. J., &amp; Holland, A. J. (1999). Capacity to make health care decisions: its importance in clinical practice. </w:t>
      </w:r>
      <w:r w:rsidRPr="00E3754A">
        <w:rPr>
          <w:i/>
          <w:lang w:val="en-AU"/>
        </w:rPr>
        <w:t>Psychological Medicine</w:t>
      </w:r>
      <w:r w:rsidRPr="00E3754A">
        <w:rPr>
          <w:lang w:val="en-AU"/>
        </w:rPr>
        <w:t xml:space="preserve">, </w:t>
      </w:r>
      <w:r w:rsidRPr="00E3754A">
        <w:rPr>
          <w:i/>
          <w:lang w:val="en-AU"/>
        </w:rPr>
        <w:t>29</w:t>
      </w:r>
      <w:r w:rsidRPr="00E3754A">
        <w:rPr>
          <w:lang w:val="en-AU"/>
        </w:rPr>
        <w:t>(2), 437–446.</w:t>
      </w:r>
    </w:p>
    <w:p w14:paraId="48187BCD" w14:textId="324F9437" w:rsidR="00EE11FA" w:rsidRPr="00E3754A" w:rsidRDefault="00EE11FA" w:rsidP="00AB685C">
      <w:pPr>
        <w:pStyle w:val="ListParagraph"/>
        <w:rPr>
          <w:lang w:val="en-AU"/>
        </w:rPr>
      </w:pPr>
      <w:r w:rsidRPr="00E3754A">
        <w:rPr>
          <w:lang w:val="en-AU"/>
        </w:rPr>
        <w:t>Woudzia, L. A. (2016). Supported decision-making and positive psychology. Research and Practice in Intellectual and Developmental Disabilities, 1–8. http://doi.org/10.1080/23297018.2016.1188412</w:t>
      </w:r>
    </w:p>
    <w:p w14:paraId="386256C6" w14:textId="1D4F7E9B" w:rsidR="00A64516" w:rsidRPr="00E3754A" w:rsidRDefault="00A64516">
      <w:pPr>
        <w:spacing w:line="240" w:lineRule="auto"/>
        <w:jc w:val="left"/>
        <w:rPr>
          <w:lang w:val="en-AU"/>
        </w:rPr>
      </w:pPr>
      <w:r w:rsidRPr="00E3754A">
        <w:rPr>
          <w:lang w:val="en-AU"/>
        </w:rPr>
        <w:br w:type="page"/>
      </w:r>
    </w:p>
    <w:tbl>
      <w:tblPr>
        <w:tblStyle w:val="Style5"/>
        <w:tblW w:w="5000" w:type="pct"/>
        <w:tblLook w:val="04A0" w:firstRow="1" w:lastRow="0" w:firstColumn="1" w:lastColumn="0" w:noHBand="0" w:noVBand="1"/>
      </w:tblPr>
      <w:tblGrid>
        <w:gridCol w:w="9236"/>
      </w:tblGrid>
      <w:tr w:rsidR="00A64516" w:rsidRPr="00E3754A" w14:paraId="28821562" w14:textId="77777777" w:rsidTr="00DC17F9">
        <w:tc>
          <w:tcPr>
            <w:tcW w:w="5000" w:type="pct"/>
          </w:tcPr>
          <w:p w14:paraId="122ECD2E" w14:textId="77777777" w:rsidR="00A64516" w:rsidRPr="00E3754A" w:rsidRDefault="00A64516" w:rsidP="00DC17F9">
            <w:pPr>
              <w:pStyle w:val="Heading1"/>
              <w:rPr>
                <w:lang w:val="en-AU"/>
              </w:rPr>
            </w:pPr>
            <w:bookmarkStart w:id="87" w:name="_Toc337970306"/>
            <w:bookmarkStart w:id="88" w:name="_Toc339036872"/>
            <w:r w:rsidRPr="00E3754A">
              <w:rPr>
                <w:lang w:val="en-AU"/>
              </w:rPr>
              <w:t>Additional resources</w:t>
            </w:r>
            <w:bookmarkEnd w:id="87"/>
            <w:bookmarkEnd w:id="88"/>
          </w:p>
        </w:tc>
      </w:tr>
    </w:tbl>
    <w:p w14:paraId="217B28DF" w14:textId="77777777" w:rsidR="00A64516" w:rsidRPr="00E3754A" w:rsidRDefault="00A64516" w:rsidP="00A64516">
      <w:pPr>
        <w:pStyle w:val="Heading4"/>
        <w:rPr>
          <w:lang w:val="en-AU"/>
        </w:rPr>
      </w:pPr>
      <w:r w:rsidRPr="00E3754A">
        <w:rPr>
          <w:lang w:val="en-AU"/>
        </w:rPr>
        <w:t>Pilot Projects</w:t>
      </w:r>
    </w:p>
    <w:p w14:paraId="0CDBA571" w14:textId="77777777" w:rsidR="00A64516" w:rsidRPr="00E3754A" w:rsidRDefault="00A64516" w:rsidP="00A64516">
      <w:pPr>
        <w:pStyle w:val="Heading5"/>
        <w:rPr>
          <w:lang w:val="en-AU"/>
        </w:rPr>
      </w:pPr>
      <w:r w:rsidRPr="00E3754A">
        <w:rPr>
          <w:lang w:val="en-AU"/>
        </w:rPr>
        <w:t>New South Wales, Australia</w:t>
      </w:r>
    </w:p>
    <w:p w14:paraId="61669CE4" w14:textId="1BF4F79E" w:rsidR="00A64516" w:rsidRPr="00E3754A" w:rsidRDefault="00A64516" w:rsidP="00A64516">
      <w:pPr>
        <w:rPr>
          <w:i/>
          <w:lang w:val="en-AU"/>
        </w:rPr>
      </w:pPr>
      <w:r w:rsidRPr="00E3754A">
        <w:rPr>
          <w:i/>
          <w:lang w:val="en-AU"/>
        </w:rPr>
        <w:t>OPA Supported Decision Making Pilot Project</w:t>
      </w:r>
      <w:r w:rsidR="006F7CE1" w:rsidRPr="00E3754A">
        <w:rPr>
          <w:i/>
          <w:lang w:val="en-AU"/>
        </w:rPr>
        <w:t xml:space="preserve"> </w:t>
      </w:r>
      <w:r w:rsidRPr="00E3754A">
        <w:rPr>
          <w:i/>
          <w:lang w:val="en-AU"/>
        </w:rPr>
        <w:t>[Automatic download]</w:t>
      </w:r>
    </w:p>
    <w:p w14:paraId="389DC38D" w14:textId="77777777" w:rsidR="00A64516" w:rsidRPr="00E3754A" w:rsidRDefault="00A64516" w:rsidP="00A64516">
      <w:pPr>
        <w:rPr>
          <w:lang w:val="en-AU"/>
        </w:rPr>
      </w:pPr>
      <w:r w:rsidRPr="00E3754A">
        <w:rPr>
          <w:lang w:val="en-AU"/>
        </w:rPr>
        <w:t>Burgen</w:t>
      </w:r>
    </w:p>
    <w:p w14:paraId="1763C135" w14:textId="77777777" w:rsidR="00A64516" w:rsidRPr="00E3754A" w:rsidRDefault="00A64516" w:rsidP="00A64516">
      <w:pPr>
        <w:rPr>
          <w:color w:val="174D92"/>
          <w:lang w:val="en-AU"/>
        </w:rPr>
      </w:pPr>
      <w:r w:rsidRPr="00E3754A">
        <w:rPr>
          <w:color w:val="174D92"/>
          <w:lang w:val="en-AU"/>
        </w:rPr>
        <w:t>https://www.google.co.nz/url?sa=t&amp;rct=j&amp;q=&amp;esrc=s&amp;source=web&amp;cd=2&amp;cad=rja&amp;uact=8&amp;ved=0ahUKEwiTpLqvmJHPAhUH0mMKHWFfDKcQFgglMAE&amp;url=https%3A%2F%2Fwww.asid.asn.au%2Ffiles%2F653_65_b_burgen.pdf&amp;usg=AFQjCNGP8ivCikwiMtYGTDqrOH87YEovIg&amp;sig2=e1nVUmxzDRXAQXjvCGgy-w&amp;bvm=bv.133053837,bs.2,d.dGo</w:t>
      </w:r>
    </w:p>
    <w:p w14:paraId="68F7BE95" w14:textId="77777777" w:rsidR="00A64516" w:rsidRPr="00E3754A" w:rsidRDefault="00A64516" w:rsidP="00A64516">
      <w:pPr>
        <w:rPr>
          <w:lang w:val="en-AU"/>
        </w:rPr>
      </w:pPr>
    </w:p>
    <w:p w14:paraId="03573A0B" w14:textId="77777777" w:rsidR="00A64516" w:rsidRPr="00E3754A" w:rsidRDefault="00A64516" w:rsidP="00A64516">
      <w:pPr>
        <w:rPr>
          <w:i/>
          <w:lang w:val="en-AU"/>
        </w:rPr>
      </w:pPr>
      <w:r w:rsidRPr="00E3754A">
        <w:rPr>
          <w:i/>
          <w:lang w:val="en-AU"/>
        </w:rPr>
        <w:t>Supported Decision Making projects</w:t>
      </w:r>
    </w:p>
    <w:p w14:paraId="445A584A" w14:textId="77777777" w:rsidR="00A64516" w:rsidRPr="00E3754A" w:rsidRDefault="00A64516" w:rsidP="00A64516">
      <w:pPr>
        <w:rPr>
          <w:lang w:val="en-AU"/>
        </w:rPr>
      </w:pPr>
      <w:r w:rsidRPr="00E3754A">
        <w:rPr>
          <w:lang w:val="en-AU"/>
        </w:rPr>
        <w:t>Ageing, Disability and Home Care (ADHC)</w:t>
      </w:r>
    </w:p>
    <w:p w14:paraId="58F9F3BC" w14:textId="77777777" w:rsidR="00A64516" w:rsidRPr="00E3754A" w:rsidRDefault="00A64516" w:rsidP="00A64516">
      <w:pPr>
        <w:rPr>
          <w:color w:val="174D92"/>
          <w:lang w:val="en-AU"/>
        </w:rPr>
      </w:pPr>
      <w:r w:rsidRPr="00E3754A">
        <w:rPr>
          <w:color w:val="174D92"/>
          <w:lang w:val="en-AU"/>
        </w:rPr>
        <w:t>http://www.adhc.nsw.gov.au/individuals/inclusion_and_participation/supported-decision-making/sdm-projects</w:t>
      </w:r>
    </w:p>
    <w:p w14:paraId="08085FDF" w14:textId="77777777" w:rsidR="00A64516" w:rsidRPr="00E3754A" w:rsidRDefault="00A64516" w:rsidP="00A64516">
      <w:pPr>
        <w:rPr>
          <w:lang w:val="en-AU"/>
        </w:rPr>
      </w:pPr>
    </w:p>
    <w:p w14:paraId="4452A90E" w14:textId="77777777" w:rsidR="00A64516" w:rsidRPr="00E3754A" w:rsidRDefault="00A64516" w:rsidP="00A64516">
      <w:pPr>
        <w:rPr>
          <w:i/>
          <w:lang w:val="en-AU"/>
        </w:rPr>
      </w:pPr>
      <w:r w:rsidRPr="00E3754A">
        <w:rPr>
          <w:i/>
          <w:lang w:val="en-AU"/>
        </w:rPr>
        <w:t>Supported decision making framework 2013</w:t>
      </w:r>
    </w:p>
    <w:p w14:paraId="322C5D05" w14:textId="77777777" w:rsidR="00A64516" w:rsidRPr="00E3754A" w:rsidRDefault="00A64516" w:rsidP="00A64516">
      <w:pPr>
        <w:rPr>
          <w:lang w:val="en-AU"/>
        </w:rPr>
      </w:pPr>
      <w:r w:rsidRPr="00E3754A">
        <w:rPr>
          <w:lang w:val="en-AU"/>
        </w:rPr>
        <w:t>Ageing, Disability and Home Care (ADHC)</w:t>
      </w:r>
    </w:p>
    <w:p w14:paraId="6AF967F9" w14:textId="77777777" w:rsidR="00A64516" w:rsidRPr="00E3754A" w:rsidRDefault="00A64516" w:rsidP="00A64516">
      <w:pPr>
        <w:rPr>
          <w:color w:val="174D92"/>
          <w:lang w:val="en-AU"/>
        </w:rPr>
      </w:pPr>
      <w:r w:rsidRPr="00E3754A">
        <w:rPr>
          <w:color w:val="174D92"/>
          <w:lang w:val="en-AU"/>
        </w:rPr>
        <w:t>http://www.adhc.nsw.gov.au/__data/assets/file/0008/346193/SDM_Policy_Framework.pdf</w:t>
      </w:r>
    </w:p>
    <w:p w14:paraId="7D16AF84" w14:textId="77777777" w:rsidR="00A64516" w:rsidRPr="00E3754A" w:rsidRDefault="00A64516" w:rsidP="00A64516">
      <w:pPr>
        <w:rPr>
          <w:lang w:val="en-AU"/>
        </w:rPr>
      </w:pPr>
    </w:p>
    <w:p w14:paraId="6A586917" w14:textId="77777777" w:rsidR="00A64516" w:rsidRPr="00E3754A" w:rsidRDefault="00A64516" w:rsidP="00A64516">
      <w:pPr>
        <w:rPr>
          <w:i/>
          <w:lang w:val="en-AU"/>
        </w:rPr>
      </w:pPr>
      <w:r w:rsidRPr="00E3754A">
        <w:rPr>
          <w:i/>
          <w:lang w:val="en-AU"/>
        </w:rPr>
        <w:t>My life, my decision. An independent evaluation of the Supported Decision Making Pilot</w:t>
      </w:r>
    </w:p>
    <w:p w14:paraId="5CC48739" w14:textId="77777777" w:rsidR="00A64516" w:rsidRPr="00E3754A" w:rsidRDefault="00A64516" w:rsidP="00A64516">
      <w:pPr>
        <w:rPr>
          <w:lang w:val="en-AU"/>
        </w:rPr>
      </w:pPr>
      <w:r w:rsidRPr="00E3754A">
        <w:rPr>
          <w:lang w:val="en-AU"/>
        </w:rPr>
        <w:t>Ageing, Disability and Home Care (ADHC)</w:t>
      </w:r>
    </w:p>
    <w:p w14:paraId="7A8476D0" w14:textId="77777777" w:rsidR="00A64516" w:rsidRPr="00E3754A" w:rsidRDefault="00A64516" w:rsidP="00A64516">
      <w:pPr>
        <w:rPr>
          <w:color w:val="174D92"/>
          <w:lang w:val="en-AU"/>
        </w:rPr>
      </w:pPr>
      <w:r w:rsidRPr="00E3754A">
        <w:rPr>
          <w:color w:val="174D92"/>
          <w:lang w:val="en-AU"/>
        </w:rPr>
        <w:t>http://www.adhc.nsw.gov.au/__data/assets/file/0009/346194/sdm_pilot_project_evaluation_report.pdf</w:t>
      </w:r>
    </w:p>
    <w:p w14:paraId="46CEF2FD" w14:textId="77777777" w:rsidR="00A64516" w:rsidRPr="00E3754A" w:rsidRDefault="00A64516" w:rsidP="00A64516">
      <w:pPr>
        <w:pStyle w:val="Heading5"/>
        <w:rPr>
          <w:lang w:val="en-AU"/>
        </w:rPr>
      </w:pPr>
      <w:r w:rsidRPr="00E3754A">
        <w:rPr>
          <w:lang w:val="en-AU"/>
        </w:rPr>
        <w:t>Victoria, Australia</w:t>
      </w:r>
    </w:p>
    <w:p w14:paraId="0C4C9D45" w14:textId="77777777" w:rsidR="00A64516" w:rsidRPr="00E3754A" w:rsidRDefault="00A64516" w:rsidP="00A64516">
      <w:pPr>
        <w:rPr>
          <w:i/>
          <w:lang w:val="en-AU"/>
        </w:rPr>
      </w:pPr>
      <w:r w:rsidRPr="00E3754A">
        <w:rPr>
          <w:i/>
          <w:lang w:val="en-AU"/>
        </w:rPr>
        <w:t>Supported decision-making</w:t>
      </w:r>
    </w:p>
    <w:p w14:paraId="723A0CDF" w14:textId="77777777" w:rsidR="00A64516" w:rsidRPr="00E3754A" w:rsidRDefault="00A64516" w:rsidP="00A64516">
      <w:pPr>
        <w:rPr>
          <w:lang w:val="en-AU"/>
        </w:rPr>
      </w:pPr>
      <w:r w:rsidRPr="00E3754A">
        <w:rPr>
          <w:lang w:val="en-AU"/>
        </w:rPr>
        <w:t>Office of the Public Advocate</w:t>
      </w:r>
    </w:p>
    <w:p w14:paraId="380CB8AE" w14:textId="77777777" w:rsidR="00A64516" w:rsidRPr="00E3754A" w:rsidRDefault="00A64516" w:rsidP="00A64516">
      <w:pPr>
        <w:rPr>
          <w:color w:val="174D92"/>
          <w:lang w:val="en-AU"/>
        </w:rPr>
      </w:pPr>
      <w:r w:rsidRPr="00E3754A">
        <w:rPr>
          <w:color w:val="174D92"/>
          <w:lang w:val="en-AU"/>
        </w:rPr>
        <w:t>http://www.publicadvocate.vic.gov.au/advocacy-research/supported-decision-making</w:t>
      </w:r>
    </w:p>
    <w:p w14:paraId="322633EA" w14:textId="77777777" w:rsidR="003F002C" w:rsidRPr="00E3754A" w:rsidRDefault="003F002C" w:rsidP="00A64516">
      <w:pPr>
        <w:rPr>
          <w:color w:val="174D92"/>
          <w:lang w:val="en-AU"/>
        </w:rPr>
      </w:pPr>
    </w:p>
    <w:p w14:paraId="1BAA6D45" w14:textId="77777777" w:rsidR="003F002C" w:rsidRPr="00E3754A" w:rsidRDefault="003F002C" w:rsidP="003F002C">
      <w:pPr>
        <w:rPr>
          <w:i/>
          <w:lang w:val="en-AU"/>
        </w:rPr>
      </w:pPr>
      <w:r w:rsidRPr="00E3754A">
        <w:rPr>
          <w:i/>
          <w:lang w:val="en-AU"/>
        </w:rPr>
        <w:t>Supported Decision Making Project</w:t>
      </w:r>
    </w:p>
    <w:p w14:paraId="742EA6E9" w14:textId="77777777" w:rsidR="003F002C" w:rsidRPr="00E3754A" w:rsidRDefault="003F002C" w:rsidP="003F002C">
      <w:pPr>
        <w:rPr>
          <w:lang w:val="en-AU"/>
        </w:rPr>
      </w:pPr>
      <w:r w:rsidRPr="00E3754A">
        <w:rPr>
          <w:lang w:val="en-AU"/>
        </w:rPr>
        <w:t>Monash University</w:t>
      </w:r>
    </w:p>
    <w:p w14:paraId="301B2014" w14:textId="6ED8FE4F" w:rsidR="003F002C" w:rsidRPr="00E3754A" w:rsidRDefault="003F002C" w:rsidP="00A64516">
      <w:pPr>
        <w:rPr>
          <w:color w:val="174D92"/>
          <w:lang w:val="en-AU"/>
        </w:rPr>
      </w:pPr>
      <w:r w:rsidRPr="00E3754A">
        <w:rPr>
          <w:color w:val="174D92"/>
          <w:lang w:val="en-AU"/>
        </w:rPr>
        <w:t>http://artsonline.monash.edu.au/supported-decision-making/</w:t>
      </w:r>
    </w:p>
    <w:p w14:paraId="5B15B3D1" w14:textId="77777777" w:rsidR="00A64516" w:rsidRPr="00E3754A" w:rsidRDefault="00A64516" w:rsidP="00A64516">
      <w:pPr>
        <w:pStyle w:val="Heading5"/>
        <w:rPr>
          <w:lang w:val="en-AU"/>
        </w:rPr>
      </w:pPr>
      <w:r w:rsidRPr="00E3754A">
        <w:rPr>
          <w:lang w:val="en-AU"/>
        </w:rPr>
        <w:t>South Australia, Australia</w:t>
      </w:r>
    </w:p>
    <w:p w14:paraId="6AA03323" w14:textId="77777777" w:rsidR="00A64516" w:rsidRPr="00E3754A" w:rsidRDefault="00A64516" w:rsidP="00A64516">
      <w:pPr>
        <w:rPr>
          <w:i/>
          <w:lang w:val="en-AU"/>
        </w:rPr>
      </w:pPr>
      <w:r w:rsidRPr="00E3754A">
        <w:rPr>
          <w:i/>
          <w:lang w:val="en-AU"/>
        </w:rPr>
        <w:t>South Australian Supported Decision Making Project Report of Preliminary “Phase I” [Automatic download]</w:t>
      </w:r>
    </w:p>
    <w:p w14:paraId="1ED6BA3B" w14:textId="77777777" w:rsidR="00A64516" w:rsidRPr="00E3754A" w:rsidRDefault="00A64516" w:rsidP="00A64516">
      <w:pPr>
        <w:rPr>
          <w:lang w:val="en-AU"/>
        </w:rPr>
      </w:pPr>
      <w:r w:rsidRPr="00E3754A">
        <w:rPr>
          <w:lang w:val="en-AU"/>
        </w:rPr>
        <w:t>Office of the Public Advocate</w:t>
      </w:r>
    </w:p>
    <w:p w14:paraId="2EB32E38" w14:textId="77777777" w:rsidR="00A64516" w:rsidRPr="00E3754A" w:rsidRDefault="00A64516" w:rsidP="00A64516">
      <w:pPr>
        <w:rPr>
          <w:color w:val="174D92"/>
          <w:lang w:val="en-AU"/>
        </w:rPr>
      </w:pPr>
      <w:r w:rsidRPr="00E3754A">
        <w:rPr>
          <w:color w:val="174D92"/>
          <w:lang w:val="en-AU"/>
        </w:rPr>
        <w:t>https://www.google.co.nz/url?sa=t&amp;rct=j&amp;q=&amp;esrc=s&amp;source=web&amp;cd=25&amp;cad=rja&amp;uact=8&amp;ved=0ahUKEwi1sv-FmpHPAhUiS2MKHXRhDUA4FBAWCDMwBA&amp;url=http%3A%2F%2Fwww.opa.sa.gov.au%2Ffiles%2Fbatch1376447055_phase_1_supported_decision_making_project_evaluation.pdf&amp;usg=AFQjCNGoExEcj9OlxCjgGP7QeRha7A4mdg&amp;sig2=GoF5886ZYCBDPS_e836ibg&amp;bvm=bv.133053837,bs.2,d.dGo</w:t>
      </w:r>
    </w:p>
    <w:p w14:paraId="2B00EA72" w14:textId="77777777" w:rsidR="00A64516" w:rsidRPr="00E3754A" w:rsidRDefault="00A64516" w:rsidP="00A64516">
      <w:pPr>
        <w:rPr>
          <w:lang w:val="en-AU"/>
        </w:rPr>
      </w:pPr>
    </w:p>
    <w:p w14:paraId="5D2ED18F" w14:textId="77777777" w:rsidR="00A64516" w:rsidRPr="00E3754A" w:rsidRDefault="00A64516" w:rsidP="00A64516">
      <w:pPr>
        <w:pStyle w:val="Heading5"/>
        <w:rPr>
          <w:lang w:val="en-AU"/>
        </w:rPr>
      </w:pPr>
      <w:r w:rsidRPr="00E3754A">
        <w:rPr>
          <w:lang w:val="en-AU"/>
        </w:rPr>
        <w:t>RC Zelda Project, Lativa</w:t>
      </w:r>
    </w:p>
    <w:p w14:paraId="682A32FD" w14:textId="77777777" w:rsidR="00A64516" w:rsidRPr="00E3754A" w:rsidRDefault="00A64516" w:rsidP="00A64516">
      <w:pPr>
        <w:rPr>
          <w:i/>
          <w:lang w:val="en-AU"/>
        </w:rPr>
      </w:pPr>
      <w:r w:rsidRPr="00E3754A">
        <w:rPr>
          <w:i/>
          <w:lang w:val="en-AU"/>
        </w:rPr>
        <w:t>RC ZELDA has completed the Pilot Project on Implementation of the Supported Decision Making in Latvia</w:t>
      </w:r>
    </w:p>
    <w:p w14:paraId="35F2FE29" w14:textId="77777777" w:rsidR="00A64516" w:rsidRPr="00E3754A" w:rsidRDefault="00A64516" w:rsidP="00A64516">
      <w:pPr>
        <w:rPr>
          <w:color w:val="174D92"/>
          <w:lang w:val="en-AU"/>
        </w:rPr>
      </w:pPr>
      <w:r w:rsidRPr="00E3754A">
        <w:rPr>
          <w:color w:val="174D92"/>
          <w:lang w:val="en-AU"/>
        </w:rPr>
        <w:t>http://zelda.org.lv/en/news/rc-zelda-has-completed-the-pilot-project-on-implementation-of-the-supported-decision-making-in-latvia-2467</w:t>
      </w:r>
    </w:p>
    <w:p w14:paraId="460D3419" w14:textId="77777777" w:rsidR="00A64516" w:rsidRPr="00E3754A" w:rsidRDefault="00A64516" w:rsidP="00A64516">
      <w:pPr>
        <w:rPr>
          <w:lang w:val="en-AU"/>
        </w:rPr>
      </w:pPr>
    </w:p>
    <w:p w14:paraId="03948EAF" w14:textId="77777777" w:rsidR="00A64516" w:rsidRPr="00E3754A" w:rsidRDefault="00A64516" w:rsidP="00A64516">
      <w:pPr>
        <w:rPr>
          <w:i/>
          <w:lang w:val="en-AU"/>
        </w:rPr>
      </w:pPr>
      <w:r w:rsidRPr="00E3754A">
        <w:rPr>
          <w:i/>
          <w:lang w:val="en-AU"/>
        </w:rPr>
        <w:t>Handbook: First Steps in Implementation of Supported Decision-Making in Lativa</w:t>
      </w:r>
    </w:p>
    <w:p w14:paraId="2CE8E642" w14:textId="61BC499F" w:rsidR="00A64516" w:rsidRPr="00E3754A" w:rsidRDefault="00A64516" w:rsidP="00A64516">
      <w:pPr>
        <w:rPr>
          <w:lang w:val="en-AU"/>
        </w:rPr>
      </w:pPr>
      <w:r w:rsidRPr="00E3754A">
        <w:rPr>
          <w:color w:val="174D92"/>
          <w:lang w:val="en-AU"/>
        </w:rPr>
        <w:t>http://zelda.org.lv/wp-content/uploads/ZELDAS_bro%C5%A1%C5%ABra_EN_WEB.pdf</w:t>
      </w:r>
    </w:p>
    <w:p w14:paraId="7DD64C69" w14:textId="77777777" w:rsidR="00A64516" w:rsidRPr="00E3754A" w:rsidRDefault="00A64516" w:rsidP="00A64516">
      <w:pPr>
        <w:rPr>
          <w:lang w:val="en-AU"/>
        </w:rPr>
      </w:pPr>
    </w:p>
    <w:p w14:paraId="213E6191" w14:textId="77777777" w:rsidR="00A64516" w:rsidRPr="00E3754A" w:rsidRDefault="00A64516" w:rsidP="00A64516">
      <w:pPr>
        <w:pStyle w:val="Heading5"/>
        <w:rPr>
          <w:lang w:val="en-AU"/>
        </w:rPr>
      </w:pPr>
      <w:r w:rsidRPr="00E3754A">
        <w:rPr>
          <w:lang w:val="en-AU"/>
        </w:rPr>
        <w:t>Supported Decision-Making Pilot Project, USA</w:t>
      </w:r>
    </w:p>
    <w:p w14:paraId="7131B03E" w14:textId="77777777" w:rsidR="00A64516" w:rsidRPr="00E3754A" w:rsidRDefault="00A64516" w:rsidP="00A64516">
      <w:pPr>
        <w:rPr>
          <w:i/>
          <w:lang w:val="en-AU"/>
        </w:rPr>
      </w:pPr>
      <w:r w:rsidRPr="00E3754A">
        <w:rPr>
          <w:i/>
          <w:lang w:val="en-AU"/>
        </w:rPr>
        <w:t>Pilot project</w:t>
      </w:r>
    </w:p>
    <w:p w14:paraId="1A43400C" w14:textId="77777777" w:rsidR="00A64516" w:rsidRPr="00E3754A" w:rsidRDefault="00A64516" w:rsidP="00A64516">
      <w:pPr>
        <w:rPr>
          <w:lang w:val="en-AU"/>
        </w:rPr>
      </w:pPr>
      <w:r w:rsidRPr="00E3754A">
        <w:rPr>
          <w:lang w:val="en-AU"/>
        </w:rPr>
        <w:t>Center for Public Representation and Nonotuck Resource Associates, Inc.</w:t>
      </w:r>
    </w:p>
    <w:p w14:paraId="20FCDA36" w14:textId="77777777" w:rsidR="00A64516" w:rsidRPr="00E3754A" w:rsidRDefault="00A64516" w:rsidP="00A64516">
      <w:pPr>
        <w:rPr>
          <w:color w:val="174D92"/>
          <w:lang w:val="en-AU"/>
        </w:rPr>
      </w:pPr>
      <w:r w:rsidRPr="00E3754A">
        <w:rPr>
          <w:color w:val="174D92"/>
          <w:lang w:val="en-AU"/>
        </w:rPr>
        <w:t>http://supporteddecisions.org/pilot-project/</w:t>
      </w:r>
    </w:p>
    <w:p w14:paraId="1F4C18E5" w14:textId="77777777" w:rsidR="00A64516" w:rsidRPr="00E3754A" w:rsidRDefault="00A64516" w:rsidP="00A64516">
      <w:pPr>
        <w:rPr>
          <w:i/>
          <w:lang w:val="en-AU"/>
        </w:rPr>
      </w:pPr>
    </w:p>
    <w:p w14:paraId="4563C369" w14:textId="77777777" w:rsidR="00A64516" w:rsidRPr="00E3754A" w:rsidRDefault="00A64516" w:rsidP="00A64516">
      <w:pPr>
        <w:rPr>
          <w:i/>
          <w:lang w:val="en-AU"/>
        </w:rPr>
      </w:pPr>
      <w:r w:rsidRPr="00E3754A">
        <w:rPr>
          <w:i/>
          <w:lang w:val="en-AU"/>
        </w:rPr>
        <w:t>Supported Decision Making Pilot: A Collaborative Approach</w:t>
      </w:r>
    </w:p>
    <w:p w14:paraId="1F4C7228" w14:textId="77777777" w:rsidR="00A64516" w:rsidRPr="00E3754A" w:rsidRDefault="00A64516" w:rsidP="00A64516">
      <w:pPr>
        <w:rPr>
          <w:lang w:val="en-AU"/>
        </w:rPr>
      </w:pPr>
      <w:r w:rsidRPr="00E3754A">
        <w:rPr>
          <w:lang w:val="en-AU"/>
        </w:rPr>
        <w:t>Center for Public Representation and Nonotuck Resource Associates, Inc.</w:t>
      </w:r>
    </w:p>
    <w:p w14:paraId="52C4284B" w14:textId="77777777" w:rsidR="00A64516" w:rsidRPr="00E3754A" w:rsidRDefault="00A64516" w:rsidP="00A64516">
      <w:pPr>
        <w:rPr>
          <w:color w:val="174D92"/>
          <w:lang w:val="en-AU"/>
        </w:rPr>
      </w:pPr>
      <w:r w:rsidRPr="00E3754A">
        <w:rPr>
          <w:color w:val="174D92"/>
          <w:lang w:val="en-AU"/>
        </w:rPr>
        <w:t>https://www.courts.wa.gov/content/publicUpload/Guardian%20WINGS%20II/Supported%20Decision%20Making%20Pilot.pdf</w:t>
      </w:r>
    </w:p>
    <w:p w14:paraId="4A4AB530" w14:textId="77777777" w:rsidR="00A64516" w:rsidRPr="00E3754A" w:rsidRDefault="00A64516" w:rsidP="00A64516">
      <w:pPr>
        <w:rPr>
          <w:lang w:val="en-AU"/>
        </w:rPr>
      </w:pPr>
    </w:p>
    <w:p w14:paraId="2F15DA84" w14:textId="77777777" w:rsidR="00A64516" w:rsidRPr="00E3754A" w:rsidRDefault="00A64516" w:rsidP="00A64516">
      <w:pPr>
        <w:rPr>
          <w:i/>
          <w:lang w:val="en-AU"/>
        </w:rPr>
      </w:pPr>
      <w:r w:rsidRPr="00E3754A">
        <w:rPr>
          <w:i/>
          <w:lang w:val="en-AU"/>
        </w:rPr>
        <w:t>10 Steps to Independence: Promoting Self-Determination in the Home</w:t>
      </w:r>
    </w:p>
    <w:p w14:paraId="746CB8E4" w14:textId="77777777" w:rsidR="00A64516" w:rsidRPr="00E3754A" w:rsidRDefault="00A64516" w:rsidP="00A64516">
      <w:pPr>
        <w:rPr>
          <w:lang w:val="en-AU"/>
        </w:rPr>
      </w:pPr>
      <w:r w:rsidRPr="00E3754A">
        <w:rPr>
          <w:lang w:val="en-AU"/>
        </w:rPr>
        <w:t>Michael L. Wehmeyer, Sharon Davis ,and Susan B. Palmer</w:t>
      </w:r>
    </w:p>
    <w:p w14:paraId="09FDF2D9" w14:textId="77777777" w:rsidR="00A64516" w:rsidRPr="00E3754A" w:rsidRDefault="00A64516" w:rsidP="00A64516">
      <w:pPr>
        <w:rPr>
          <w:lang w:val="en-AU"/>
        </w:rPr>
      </w:pPr>
    </w:p>
    <w:p w14:paraId="6E5A3796" w14:textId="77777777" w:rsidR="00A64516" w:rsidRPr="00E3754A" w:rsidRDefault="00A64516" w:rsidP="00A64516">
      <w:pPr>
        <w:rPr>
          <w:color w:val="174D92"/>
          <w:lang w:val="en-AU"/>
        </w:rPr>
      </w:pPr>
      <w:r w:rsidRPr="00E3754A">
        <w:rPr>
          <w:color w:val="174D92"/>
          <w:lang w:val="en-AU"/>
        </w:rPr>
        <w:t>http://ngsd.org/sites/default/files/10_steps_to_independence.pdf</w:t>
      </w:r>
    </w:p>
    <w:p w14:paraId="16135DA5" w14:textId="77777777" w:rsidR="00A64516" w:rsidRPr="00E3754A" w:rsidRDefault="00A64516" w:rsidP="00A64516">
      <w:pPr>
        <w:rPr>
          <w:lang w:val="en-AU"/>
        </w:rPr>
      </w:pPr>
    </w:p>
    <w:p w14:paraId="7FFC48FF" w14:textId="77777777" w:rsidR="00A64516" w:rsidRPr="00E3754A" w:rsidRDefault="00A64516" w:rsidP="00A64516">
      <w:pPr>
        <w:rPr>
          <w:i/>
          <w:lang w:val="en-AU"/>
        </w:rPr>
      </w:pPr>
      <w:r w:rsidRPr="00E3754A">
        <w:rPr>
          <w:i/>
          <w:lang w:val="en-AU"/>
        </w:rPr>
        <w:t>Volunteer-Supported Decision-Making for People with Cognitive Impairments</w:t>
      </w:r>
    </w:p>
    <w:p w14:paraId="0C895879" w14:textId="77777777" w:rsidR="00A64516" w:rsidRPr="00E3754A" w:rsidRDefault="00A64516" w:rsidP="00A64516">
      <w:pPr>
        <w:rPr>
          <w:lang w:val="en-AU"/>
        </w:rPr>
      </w:pPr>
      <w:r w:rsidRPr="00E3754A">
        <w:rPr>
          <w:lang w:val="en-AU"/>
        </w:rPr>
        <w:t>Texas Department of Aging and Disability Services</w:t>
      </w:r>
    </w:p>
    <w:p w14:paraId="0C13DAEC" w14:textId="77777777" w:rsidR="00A64516" w:rsidRPr="00E3754A" w:rsidRDefault="00A64516" w:rsidP="00A64516">
      <w:pPr>
        <w:rPr>
          <w:color w:val="174D92"/>
          <w:lang w:val="en-AU"/>
        </w:rPr>
      </w:pPr>
      <w:r w:rsidRPr="00E3754A">
        <w:rPr>
          <w:color w:val="174D92"/>
          <w:lang w:val="en-AU"/>
        </w:rPr>
        <w:t>http://www.tcdd.texas.gov/wp-content/uploads/2013/01/2013_Feb_handout_05_Guard.pdf</w:t>
      </w:r>
    </w:p>
    <w:p w14:paraId="70C255B7" w14:textId="77777777" w:rsidR="00A64516" w:rsidRPr="00E3754A" w:rsidRDefault="00A64516" w:rsidP="00A64516">
      <w:pPr>
        <w:rPr>
          <w:lang w:val="en-AU"/>
        </w:rPr>
      </w:pPr>
    </w:p>
    <w:p w14:paraId="6A5F4058" w14:textId="77777777" w:rsidR="00A64516" w:rsidRPr="00E3754A" w:rsidRDefault="00A64516" w:rsidP="00A64516">
      <w:pPr>
        <w:pStyle w:val="Heading4"/>
        <w:rPr>
          <w:lang w:val="en-AU"/>
        </w:rPr>
      </w:pPr>
      <w:r w:rsidRPr="00E3754A">
        <w:rPr>
          <w:lang w:val="en-AU"/>
        </w:rPr>
        <w:t>Examples of Practice</w:t>
      </w:r>
    </w:p>
    <w:p w14:paraId="63345B57" w14:textId="77777777" w:rsidR="00A64516" w:rsidRPr="00E3754A" w:rsidRDefault="00A64516" w:rsidP="009562C4">
      <w:pPr>
        <w:tabs>
          <w:tab w:val="left" w:pos="142"/>
        </w:tabs>
        <w:rPr>
          <w:i/>
          <w:lang w:val="en-AU"/>
        </w:rPr>
      </w:pPr>
      <w:r w:rsidRPr="00E3754A">
        <w:rPr>
          <w:i/>
          <w:lang w:val="en-AU"/>
        </w:rPr>
        <w:t>Making Healthcare Choices: Perspectives of People with Disabilities [Video]</w:t>
      </w:r>
    </w:p>
    <w:p w14:paraId="6AA0FD9B" w14:textId="77777777" w:rsidR="00A64516" w:rsidRPr="00E3754A" w:rsidRDefault="00A64516" w:rsidP="00A64516">
      <w:pPr>
        <w:rPr>
          <w:lang w:val="en-AU"/>
        </w:rPr>
      </w:pPr>
      <w:r w:rsidRPr="00E3754A">
        <w:rPr>
          <w:lang w:val="en-AU"/>
        </w:rPr>
        <w:t>American Civil Liberties Union</w:t>
      </w:r>
    </w:p>
    <w:p w14:paraId="3D2E1DD1" w14:textId="77777777" w:rsidR="00A64516" w:rsidRPr="00E3754A" w:rsidRDefault="00A64516" w:rsidP="00A64516">
      <w:pPr>
        <w:rPr>
          <w:color w:val="174D92"/>
          <w:lang w:val="en-AU"/>
        </w:rPr>
      </w:pPr>
      <w:r w:rsidRPr="00E3754A">
        <w:rPr>
          <w:color w:val="174D92"/>
          <w:lang w:val="en-AU"/>
        </w:rPr>
        <w:t>https://youtu.be/QTyZrSC2I6U</w:t>
      </w:r>
    </w:p>
    <w:p w14:paraId="2D3AB418" w14:textId="77777777" w:rsidR="00A64516" w:rsidRPr="00E3754A" w:rsidRDefault="00A64516" w:rsidP="00A64516">
      <w:pPr>
        <w:rPr>
          <w:lang w:val="en-AU"/>
        </w:rPr>
      </w:pPr>
    </w:p>
    <w:p w14:paraId="401BB60A" w14:textId="77777777" w:rsidR="00A64516" w:rsidRPr="00E3754A" w:rsidRDefault="00A64516" w:rsidP="00A64516">
      <w:pPr>
        <w:rPr>
          <w:i/>
          <w:lang w:val="en-AU"/>
        </w:rPr>
      </w:pPr>
      <w:r w:rsidRPr="00E3754A">
        <w:rPr>
          <w:i/>
          <w:lang w:val="en-AU"/>
        </w:rPr>
        <w:t>Safeguarding Human Dignity: Sweden’s Personal Ombudsmen System</w:t>
      </w:r>
    </w:p>
    <w:p w14:paraId="022375C1" w14:textId="77777777" w:rsidR="00A64516" w:rsidRPr="00E3754A" w:rsidRDefault="00A64516" w:rsidP="00A64516">
      <w:pPr>
        <w:rPr>
          <w:lang w:val="en-AU"/>
        </w:rPr>
      </w:pPr>
      <w:r w:rsidRPr="00E3754A">
        <w:rPr>
          <w:lang w:val="en-AU"/>
        </w:rPr>
        <w:t>FuturePolicy.org</w:t>
      </w:r>
    </w:p>
    <w:p w14:paraId="2569119B" w14:textId="77777777" w:rsidR="00A64516" w:rsidRPr="00E3754A" w:rsidRDefault="00A64516" w:rsidP="00A64516">
      <w:pPr>
        <w:rPr>
          <w:color w:val="174D92"/>
          <w:lang w:val="en-AU"/>
        </w:rPr>
      </w:pPr>
      <w:r w:rsidRPr="00E3754A">
        <w:rPr>
          <w:color w:val="174D92"/>
          <w:lang w:val="en-AU"/>
        </w:rPr>
        <w:t>http://www.futurepolicy.org/rights-and-responsibilities/swedens-personal-ombudsmen-system/</w:t>
      </w:r>
    </w:p>
    <w:p w14:paraId="4AD52C65" w14:textId="77777777" w:rsidR="00A64516" w:rsidRPr="00E3754A" w:rsidRDefault="00A64516" w:rsidP="00A64516">
      <w:pPr>
        <w:pStyle w:val="Heading4"/>
        <w:rPr>
          <w:lang w:val="en-AU"/>
        </w:rPr>
      </w:pPr>
      <w:r w:rsidRPr="00E3754A">
        <w:rPr>
          <w:lang w:val="en-AU"/>
        </w:rPr>
        <w:t>Resources</w:t>
      </w:r>
    </w:p>
    <w:p w14:paraId="6F14FB4D" w14:textId="77777777" w:rsidR="00A64516" w:rsidRPr="00E3754A" w:rsidRDefault="00A64516" w:rsidP="00A64516">
      <w:pPr>
        <w:rPr>
          <w:i/>
          <w:lang w:val="en-AU"/>
        </w:rPr>
      </w:pPr>
      <w:r w:rsidRPr="00E3754A">
        <w:rPr>
          <w:i/>
          <w:lang w:val="en-AU"/>
        </w:rPr>
        <w:t>Ted Inspired Talk given at Financial Counselling Australia Conference 2016 [Video]</w:t>
      </w:r>
    </w:p>
    <w:p w14:paraId="12F9A64C" w14:textId="77777777" w:rsidR="00A64516" w:rsidRPr="00E3754A" w:rsidRDefault="00A64516" w:rsidP="00A64516">
      <w:pPr>
        <w:rPr>
          <w:lang w:val="en-AU"/>
        </w:rPr>
      </w:pPr>
      <w:r w:rsidRPr="00E3754A">
        <w:rPr>
          <w:lang w:val="en-AU"/>
        </w:rPr>
        <w:t>Jo Watson</w:t>
      </w:r>
    </w:p>
    <w:p w14:paraId="0E6D65B0" w14:textId="77777777" w:rsidR="00A64516" w:rsidRPr="00E3754A" w:rsidRDefault="00A64516" w:rsidP="00A64516">
      <w:pPr>
        <w:rPr>
          <w:color w:val="174D92"/>
          <w:lang w:val="en-AU"/>
        </w:rPr>
      </w:pPr>
      <w:r w:rsidRPr="00E3754A">
        <w:rPr>
          <w:color w:val="174D92"/>
          <w:lang w:val="en-AU"/>
        </w:rPr>
        <w:t>https://youtu.be/qMerG7CULJE</w:t>
      </w:r>
    </w:p>
    <w:p w14:paraId="15E2CDA2" w14:textId="77777777" w:rsidR="00A64516" w:rsidRPr="00E3754A" w:rsidRDefault="00A64516" w:rsidP="00A64516">
      <w:pPr>
        <w:rPr>
          <w:lang w:val="en-AU"/>
        </w:rPr>
      </w:pPr>
    </w:p>
    <w:p w14:paraId="38F77846" w14:textId="77777777" w:rsidR="00A64516" w:rsidRPr="00E3754A" w:rsidRDefault="00A64516" w:rsidP="00A64516">
      <w:pPr>
        <w:rPr>
          <w:i/>
          <w:lang w:val="en-AU"/>
        </w:rPr>
      </w:pPr>
      <w:r w:rsidRPr="00E3754A">
        <w:rPr>
          <w:i/>
          <w:lang w:val="en-AU"/>
        </w:rPr>
        <w:t>Listening to those rarely heard</w:t>
      </w:r>
    </w:p>
    <w:p w14:paraId="08CDE6A8" w14:textId="77777777" w:rsidR="00A64516" w:rsidRPr="00E3754A" w:rsidRDefault="00A64516" w:rsidP="00A64516">
      <w:pPr>
        <w:rPr>
          <w:lang w:val="en-AU"/>
        </w:rPr>
      </w:pPr>
      <w:r w:rsidRPr="00E3754A">
        <w:rPr>
          <w:lang w:val="en-AU"/>
        </w:rPr>
        <w:t>Jo Watson and Rhonda Joseph, Scope Victoria</w:t>
      </w:r>
    </w:p>
    <w:p w14:paraId="5E166A9C" w14:textId="77777777" w:rsidR="00A64516" w:rsidRPr="00E3754A" w:rsidRDefault="00A64516" w:rsidP="00A64516">
      <w:pPr>
        <w:rPr>
          <w:color w:val="174D92"/>
          <w:lang w:val="en-AU"/>
        </w:rPr>
      </w:pPr>
      <w:r w:rsidRPr="00E3754A">
        <w:rPr>
          <w:color w:val="174D92"/>
          <w:lang w:val="en-AU"/>
        </w:rPr>
        <w:t>https://vimeo.com/21176882</w:t>
      </w:r>
    </w:p>
    <w:p w14:paraId="1D04C9A0" w14:textId="77777777" w:rsidR="00A64516" w:rsidRPr="00E3754A" w:rsidRDefault="00A64516" w:rsidP="00A64516">
      <w:pPr>
        <w:rPr>
          <w:lang w:val="en-AU"/>
        </w:rPr>
      </w:pPr>
    </w:p>
    <w:p w14:paraId="5BB7C8A1" w14:textId="77777777" w:rsidR="00A64516" w:rsidRPr="00E3754A" w:rsidRDefault="00A64516" w:rsidP="00A64516">
      <w:pPr>
        <w:rPr>
          <w:i/>
          <w:lang w:val="en-AU"/>
        </w:rPr>
      </w:pPr>
      <w:r w:rsidRPr="00E3754A">
        <w:rPr>
          <w:i/>
          <w:lang w:val="en-AU"/>
        </w:rPr>
        <w:t>What is Self-Determination and Why is It Important to People with Developmental Disabilities? [Video lectures]</w:t>
      </w:r>
    </w:p>
    <w:p w14:paraId="3498A999" w14:textId="77777777" w:rsidR="00A64516" w:rsidRPr="00E3754A" w:rsidRDefault="00A64516" w:rsidP="00A64516">
      <w:pPr>
        <w:rPr>
          <w:lang w:val="en-AU"/>
        </w:rPr>
      </w:pPr>
      <w:r w:rsidRPr="00E3754A">
        <w:rPr>
          <w:lang w:val="en-AU"/>
        </w:rPr>
        <w:t>Michael Wehmeyer</w:t>
      </w:r>
    </w:p>
    <w:p w14:paraId="5FAF15A4" w14:textId="77777777" w:rsidR="00A64516" w:rsidRPr="00E3754A" w:rsidRDefault="00A64516" w:rsidP="00A64516">
      <w:pPr>
        <w:rPr>
          <w:color w:val="174D92"/>
          <w:lang w:val="en-AU"/>
        </w:rPr>
      </w:pPr>
      <w:r w:rsidRPr="00E3754A">
        <w:rPr>
          <w:color w:val="174D92"/>
          <w:lang w:val="en-AU"/>
        </w:rPr>
        <w:t>http://www.ngsd.org/everyone/what-self-determination</w:t>
      </w:r>
    </w:p>
    <w:p w14:paraId="5ADE2438" w14:textId="77777777" w:rsidR="00A64516" w:rsidRPr="00E3754A" w:rsidRDefault="00A64516" w:rsidP="00A64516">
      <w:pPr>
        <w:rPr>
          <w:lang w:val="en-AU"/>
        </w:rPr>
      </w:pPr>
    </w:p>
    <w:p w14:paraId="17206AE9" w14:textId="77777777" w:rsidR="00A64516" w:rsidRPr="00E3754A" w:rsidRDefault="00A64516" w:rsidP="00A64516">
      <w:pPr>
        <w:rPr>
          <w:i/>
          <w:lang w:val="en-AU"/>
        </w:rPr>
      </w:pPr>
      <w:r w:rsidRPr="00E3754A">
        <w:rPr>
          <w:i/>
          <w:lang w:val="en-AU"/>
        </w:rPr>
        <w:t>Active citizenship for persons with disabilities, UN CRPD, and DISCIT project (Multiple captions) [Video]</w:t>
      </w:r>
    </w:p>
    <w:p w14:paraId="51B23C11" w14:textId="77777777" w:rsidR="00A64516" w:rsidRPr="00E3754A" w:rsidRDefault="00A64516" w:rsidP="00A64516">
      <w:pPr>
        <w:rPr>
          <w:lang w:val="en-AU"/>
        </w:rPr>
      </w:pPr>
      <w:r w:rsidRPr="00E3754A">
        <w:rPr>
          <w:lang w:val="en-AU"/>
        </w:rPr>
        <w:t>European Disability Forum</w:t>
      </w:r>
    </w:p>
    <w:p w14:paraId="3DB746B2" w14:textId="77777777" w:rsidR="00A64516" w:rsidRPr="00E3754A" w:rsidRDefault="00A64516" w:rsidP="00A64516">
      <w:pPr>
        <w:rPr>
          <w:color w:val="174D92"/>
          <w:lang w:val="en-AU"/>
        </w:rPr>
      </w:pPr>
      <w:r w:rsidRPr="00E3754A">
        <w:rPr>
          <w:color w:val="174D92"/>
          <w:lang w:val="en-AU"/>
        </w:rPr>
        <w:t>https://www.youtube.com/watch?v=sBoo5_os6yU</w:t>
      </w:r>
    </w:p>
    <w:p w14:paraId="19A854E3" w14:textId="77777777" w:rsidR="00A64516" w:rsidRPr="00E3754A" w:rsidRDefault="00A64516" w:rsidP="00A64516">
      <w:pPr>
        <w:rPr>
          <w:lang w:val="en-AU"/>
        </w:rPr>
      </w:pPr>
    </w:p>
    <w:p w14:paraId="69CD556A" w14:textId="77777777" w:rsidR="00A64516" w:rsidRPr="00E3754A" w:rsidRDefault="00A64516" w:rsidP="00A64516">
      <w:pPr>
        <w:rPr>
          <w:i/>
          <w:lang w:val="en-AU"/>
        </w:rPr>
      </w:pPr>
      <w:r w:rsidRPr="00E3754A">
        <w:rPr>
          <w:i/>
          <w:lang w:val="en-AU"/>
        </w:rPr>
        <w:t>At Open Society: Michael Bach [Video]</w:t>
      </w:r>
    </w:p>
    <w:p w14:paraId="0552B241" w14:textId="77777777" w:rsidR="00A64516" w:rsidRPr="00E3754A" w:rsidRDefault="00A64516" w:rsidP="00A64516">
      <w:pPr>
        <w:rPr>
          <w:lang w:val="en-AU"/>
        </w:rPr>
      </w:pPr>
      <w:r w:rsidRPr="00E3754A">
        <w:rPr>
          <w:lang w:val="en-AU"/>
        </w:rPr>
        <w:t>Open Society</w:t>
      </w:r>
    </w:p>
    <w:p w14:paraId="508D2CEC" w14:textId="77777777" w:rsidR="00A64516" w:rsidRPr="00E3754A" w:rsidRDefault="00A64516" w:rsidP="00A64516">
      <w:pPr>
        <w:rPr>
          <w:color w:val="174D92"/>
          <w:lang w:val="en-AU"/>
        </w:rPr>
      </w:pPr>
      <w:r w:rsidRPr="00E3754A">
        <w:rPr>
          <w:color w:val="174D92"/>
          <w:lang w:val="en-AU"/>
        </w:rPr>
        <w:t>https://www.opensocietyfoundations.org/videos/open-society-michael-bach</w:t>
      </w:r>
    </w:p>
    <w:p w14:paraId="5301343F" w14:textId="77777777" w:rsidR="00A64516" w:rsidRPr="00E3754A" w:rsidRDefault="00A64516" w:rsidP="00A64516">
      <w:pPr>
        <w:rPr>
          <w:lang w:val="en-AU"/>
        </w:rPr>
      </w:pPr>
    </w:p>
    <w:p w14:paraId="703E3EE8" w14:textId="77777777" w:rsidR="00A64516" w:rsidRPr="00E3754A" w:rsidRDefault="00A64516" w:rsidP="00A64516">
      <w:pPr>
        <w:rPr>
          <w:i/>
          <w:lang w:val="en-AU"/>
        </w:rPr>
      </w:pPr>
      <w:r w:rsidRPr="00E3754A">
        <w:rPr>
          <w:i/>
          <w:lang w:val="en-AU"/>
        </w:rPr>
        <w:t>Building the Evidence Base on Supported Decision Making [Slideshow]</w:t>
      </w:r>
    </w:p>
    <w:p w14:paraId="1F004B4F" w14:textId="77777777" w:rsidR="00A64516" w:rsidRPr="00E3754A" w:rsidRDefault="00A64516" w:rsidP="00A64516">
      <w:pPr>
        <w:rPr>
          <w:lang w:val="en-AU"/>
        </w:rPr>
      </w:pPr>
      <w:r w:rsidRPr="00E3754A">
        <w:rPr>
          <w:lang w:val="en-AU"/>
        </w:rPr>
        <w:t>Christine Bigby</w:t>
      </w:r>
    </w:p>
    <w:p w14:paraId="6955E772" w14:textId="77777777" w:rsidR="00A64516" w:rsidRPr="00E3754A" w:rsidRDefault="00A64516" w:rsidP="00A64516">
      <w:pPr>
        <w:rPr>
          <w:color w:val="174D92"/>
          <w:lang w:val="en-AU"/>
        </w:rPr>
      </w:pPr>
      <w:r w:rsidRPr="00E3754A">
        <w:rPr>
          <w:color w:val="174D92"/>
          <w:lang w:val="en-AU"/>
        </w:rPr>
        <w:t>http://www.slideshare.net/ChristineBigby/building-the-evidence-base-on-supported-decision-making</w:t>
      </w:r>
    </w:p>
    <w:p w14:paraId="3BA6EACE" w14:textId="77777777" w:rsidR="003F002C" w:rsidRPr="00E3754A" w:rsidRDefault="003F002C" w:rsidP="003F002C">
      <w:pPr>
        <w:rPr>
          <w:i/>
          <w:lang w:val="en-AU"/>
        </w:rPr>
      </w:pPr>
    </w:p>
    <w:p w14:paraId="43CDD165" w14:textId="77777777" w:rsidR="003F002C" w:rsidRPr="00E3754A" w:rsidRDefault="003F002C" w:rsidP="003F002C">
      <w:pPr>
        <w:rPr>
          <w:i/>
          <w:lang w:val="en-AU"/>
        </w:rPr>
      </w:pPr>
      <w:r w:rsidRPr="00E3754A">
        <w:rPr>
          <w:i/>
          <w:lang w:val="en-AU"/>
        </w:rPr>
        <w:t>Understanding the Lived Experiences of Supported Decision-Making In Canada</w:t>
      </w:r>
    </w:p>
    <w:p w14:paraId="49E6EC14" w14:textId="77777777" w:rsidR="003F002C" w:rsidRPr="00E3754A" w:rsidRDefault="003F002C" w:rsidP="003F002C">
      <w:pPr>
        <w:rPr>
          <w:lang w:val="en-AU"/>
        </w:rPr>
      </w:pPr>
      <w:r w:rsidRPr="00E3754A">
        <w:rPr>
          <w:lang w:val="en-AU"/>
        </w:rPr>
        <w:t>Krista James &amp; Laura Watts</w:t>
      </w:r>
    </w:p>
    <w:p w14:paraId="3AFB93AF" w14:textId="77777777" w:rsidR="003F002C" w:rsidRPr="00E3754A" w:rsidRDefault="003F002C" w:rsidP="003F002C">
      <w:pPr>
        <w:rPr>
          <w:color w:val="174D92"/>
          <w:lang w:val="en-AU"/>
        </w:rPr>
      </w:pPr>
      <w:r w:rsidRPr="00E3754A">
        <w:rPr>
          <w:color w:val="174D92"/>
          <w:lang w:val="en-AU"/>
        </w:rPr>
        <w:t>http://www.lco-cdo.org/capacity-guardianship-commissioned-paper-ccel.pdf</w:t>
      </w:r>
    </w:p>
    <w:p w14:paraId="6C27E739" w14:textId="77777777" w:rsidR="003F002C" w:rsidRPr="00E3754A" w:rsidRDefault="003F002C" w:rsidP="003F002C">
      <w:pPr>
        <w:rPr>
          <w:i/>
          <w:lang w:val="en-AU"/>
        </w:rPr>
      </w:pPr>
    </w:p>
    <w:p w14:paraId="516631B0" w14:textId="77777777" w:rsidR="003F002C" w:rsidRPr="00E3754A" w:rsidRDefault="003F002C" w:rsidP="003F002C">
      <w:pPr>
        <w:rPr>
          <w:i/>
          <w:lang w:val="en-AU"/>
        </w:rPr>
      </w:pPr>
      <w:r w:rsidRPr="00E3754A">
        <w:rPr>
          <w:i/>
          <w:lang w:val="en-AU"/>
        </w:rPr>
        <w:t>Draft General Comment on Article 12 of the Convention - Equal Recognition before the Law &amp; Draft General Comment on Article 9 of the Convention – Accessibility. Call for Comments</w:t>
      </w:r>
    </w:p>
    <w:p w14:paraId="588D01E8" w14:textId="77777777" w:rsidR="003F002C" w:rsidRPr="00E3754A" w:rsidRDefault="003F002C" w:rsidP="003F002C">
      <w:pPr>
        <w:rPr>
          <w:lang w:val="en-AU"/>
        </w:rPr>
      </w:pPr>
      <w:r w:rsidRPr="00E3754A">
        <w:rPr>
          <w:lang w:val="en-AU"/>
        </w:rPr>
        <w:t>Submissions made towards the drafting of the General Comments to the Convention</w:t>
      </w:r>
    </w:p>
    <w:p w14:paraId="348EFA5F" w14:textId="77777777" w:rsidR="003F002C" w:rsidRPr="00E3754A" w:rsidRDefault="003F002C" w:rsidP="003F002C">
      <w:pPr>
        <w:rPr>
          <w:color w:val="174D92"/>
          <w:lang w:val="en-AU"/>
        </w:rPr>
      </w:pPr>
      <w:r w:rsidRPr="00E3754A">
        <w:rPr>
          <w:color w:val="174D92"/>
          <w:lang w:val="en-AU"/>
        </w:rPr>
        <w:t>http://www.ohchr.org/EN/HRBodies/CRPD/Pages/DGCArticles12And9.aspx</w:t>
      </w:r>
    </w:p>
    <w:p w14:paraId="1F9CE0C6" w14:textId="77777777" w:rsidR="00A64516" w:rsidRPr="00E3754A" w:rsidRDefault="00A64516" w:rsidP="00A64516">
      <w:pPr>
        <w:rPr>
          <w:lang w:val="en-AU"/>
        </w:rPr>
      </w:pPr>
    </w:p>
    <w:p w14:paraId="5D6383C1" w14:textId="1E508EB6" w:rsidR="003F002C" w:rsidRPr="00E3754A" w:rsidRDefault="003F002C" w:rsidP="003F002C">
      <w:pPr>
        <w:pStyle w:val="Heading5"/>
        <w:rPr>
          <w:lang w:val="en-AU"/>
        </w:rPr>
      </w:pPr>
      <w:r w:rsidRPr="00E3754A">
        <w:rPr>
          <w:lang w:val="en-AU"/>
        </w:rPr>
        <w:t>Supported decision-making guides and manuals</w:t>
      </w:r>
    </w:p>
    <w:p w14:paraId="6067D608" w14:textId="77777777" w:rsidR="00A64516" w:rsidRPr="00E3754A" w:rsidRDefault="00A64516" w:rsidP="00A64516">
      <w:pPr>
        <w:rPr>
          <w:i/>
          <w:lang w:val="en-AU"/>
        </w:rPr>
      </w:pPr>
      <w:r w:rsidRPr="00E3754A">
        <w:rPr>
          <w:i/>
          <w:lang w:val="en-AU"/>
        </w:rPr>
        <w:t>Supporting decision making guide</w:t>
      </w:r>
    </w:p>
    <w:p w14:paraId="0A8AE366" w14:textId="77777777" w:rsidR="00A64516" w:rsidRPr="00E3754A" w:rsidRDefault="00A64516" w:rsidP="00A64516">
      <w:pPr>
        <w:rPr>
          <w:lang w:val="en-AU"/>
        </w:rPr>
      </w:pPr>
      <w:r w:rsidRPr="00E3754A">
        <w:rPr>
          <w:lang w:val="en-AU"/>
        </w:rPr>
        <w:t>Department of Human Services</w:t>
      </w:r>
    </w:p>
    <w:p w14:paraId="0D428884" w14:textId="77777777" w:rsidR="00A64516" w:rsidRPr="00E3754A" w:rsidRDefault="00A64516" w:rsidP="00A64516">
      <w:pPr>
        <w:rPr>
          <w:color w:val="174D92"/>
          <w:lang w:val="en-AU"/>
        </w:rPr>
      </w:pPr>
      <w:r w:rsidRPr="00E3754A">
        <w:rPr>
          <w:color w:val="174D92"/>
          <w:lang w:val="en-AU"/>
        </w:rPr>
        <w:t>http://www.dhs.vic.gov.au/about-the-department/documents-and-resources/policies,-guidelines-and-legislation/supporting-decision-making-guide</w:t>
      </w:r>
    </w:p>
    <w:p w14:paraId="4C7BD5DE" w14:textId="77777777" w:rsidR="00A64516" w:rsidRPr="00E3754A" w:rsidRDefault="00A64516" w:rsidP="00A64516">
      <w:pPr>
        <w:rPr>
          <w:lang w:val="en-AU"/>
        </w:rPr>
      </w:pPr>
    </w:p>
    <w:p w14:paraId="39692333" w14:textId="77777777" w:rsidR="00A64516" w:rsidRPr="00E3754A" w:rsidRDefault="00A64516" w:rsidP="00A64516">
      <w:pPr>
        <w:rPr>
          <w:lang w:val="en-AU"/>
        </w:rPr>
      </w:pPr>
    </w:p>
    <w:p w14:paraId="11781F57" w14:textId="77777777" w:rsidR="00A64516" w:rsidRPr="00E3754A" w:rsidRDefault="00A64516" w:rsidP="00A64516">
      <w:pPr>
        <w:rPr>
          <w:i/>
          <w:lang w:val="en-AU"/>
        </w:rPr>
      </w:pPr>
      <w:r w:rsidRPr="00E3754A">
        <w:rPr>
          <w:i/>
          <w:lang w:val="en-AU"/>
        </w:rPr>
        <w:t>CRPD Manual [Automatic download]</w:t>
      </w:r>
    </w:p>
    <w:p w14:paraId="48570ED8" w14:textId="77777777" w:rsidR="00A64516" w:rsidRPr="00E3754A" w:rsidRDefault="00A64516" w:rsidP="00A64516">
      <w:pPr>
        <w:rPr>
          <w:lang w:val="en-AU"/>
        </w:rPr>
      </w:pPr>
      <w:r w:rsidRPr="00E3754A">
        <w:rPr>
          <w:lang w:val="en-AU"/>
        </w:rPr>
        <w:t>World Network of Users and Survivors of Psychiatry</w:t>
      </w:r>
    </w:p>
    <w:p w14:paraId="4EE13DD3" w14:textId="77777777" w:rsidR="00A64516" w:rsidRPr="00E3754A" w:rsidRDefault="00A64516" w:rsidP="00A64516">
      <w:pPr>
        <w:rPr>
          <w:color w:val="174D92"/>
          <w:lang w:val="en-AU"/>
        </w:rPr>
      </w:pPr>
      <w:r w:rsidRPr="00E3754A">
        <w:rPr>
          <w:color w:val="174D92"/>
          <w:lang w:val="en-AU"/>
        </w:rPr>
        <w:t>https://www.google.co.nz/url?sa=t&amp;rct=j&amp;q=&amp;esrc=s&amp;source=web&amp;cd=2&amp;cad=rja&amp;uact=8&amp;ved=0ahUKEwjrrMO9xZLPAhWBGZQKHTbODOUQFgggMAE&amp;url=http%3A%2F%2Fwww.un.org%2Fdisabilities%2Fdocuments%2FCOP%2FWNUSP%2520CRPD%2520Manual.doc&amp;usg=AFQjCNHU0G8Rc7beuIpQGVodeOOCWw0Ntg&amp;bvm=bv.133053837,bs.1,d.dGo</w:t>
      </w:r>
    </w:p>
    <w:p w14:paraId="320D9AD3" w14:textId="77777777" w:rsidR="00A64516" w:rsidRPr="00E3754A" w:rsidRDefault="00A64516" w:rsidP="00A64516">
      <w:pPr>
        <w:rPr>
          <w:lang w:val="en-AU"/>
        </w:rPr>
      </w:pPr>
    </w:p>
    <w:p w14:paraId="4EF95BF4" w14:textId="77777777" w:rsidR="00A64516" w:rsidRPr="00E3754A" w:rsidRDefault="00A64516" w:rsidP="00A64516">
      <w:pPr>
        <w:rPr>
          <w:i/>
          <w:lang w:val="en-AU"/>
        </w:rPr>
      </w:pPr>
      <w:r w:rsidRPr="00E3754A">
        <w:rPr>
          <w:i/>
          <w:lang w:val="en-AU"/>
        </w:rPr>
        <w:t>Handbook for Parliamentarians</w:t>
      </w:r>
    </w:p>
    <w:p w14:paraId="4F498E89" w14:textId="77777777" w:rsidR="00A64516" w:rsidRPr="00E3754A" w:rsidRDefault="00A64516" w:rsidP="00A64516">
      <w:pPr>
        <w:rPr>
          <w:lang w:val="en-AU"/>
        </w:rPr>
      </w:pPr>
      <w:r w:rsidRPr="00E3754A">
        <w:rPr>
          <w:lang w:val="en-AU"/>
        </w:rPr>
        <w:t>United Nations</w:t>
      </w:r>
    </w:p>
    <w:p w14:paraId="53EDF104" w14:textId="77777777" w:rsidR="00A64516" w:rsidRPr="00E3754A" w:rsidRDefault="00A64516" w:rsidP="00A64516">
      <w:pPr>
        <w:rPr>
          <w:color w:val="174D92"/>
          <w:lang w:val="en-AU"/>
        </w:rPr>
      </w:pPr>
      <w:r w:rsidRPr="00E3754A">
        <w:rPr>
          <w:color w:val="174D92"/>
          <w:lang w:val="en-AU"/>
        </w:rPr>
        <w:t>http://www.un.org/disabilities/documents/toolaction/ipuhb.pdf</w:t>
      </w:r>
    </w:p>
    <w:p w14:paraId="6A43F8B9" w14:textId="77777777" w:rsidR="00A64516" w:rsidRPr="00E3754A" w:rsidRDefault="00A64516" w:rsidP="00A64516">
      <w:pPr>
        <w:rPr>
          <w:lang w:val="en-AU"/>
        </w:rPr>
      </w:pPr>
    </w:p>
    <w:p w14:paraId="4CA9BBFB" w14:textId="77777777" w:rsidR="00A64516" w:rsidRPr="00E3754A" w:rsidRDefault="00A64516" w:rsidP="00A64516">
      <w:pPr>
        <w:rPr>
          <w:i/>
          <w:lang w:val="en-AU"/>
        </w:rPr>
      </w:pPr>
      <w:r w:rsidRPr="00E3754A">
        <w:rPr>
          <w:i/>
          <w:lang w:val="en-AU"/>
        </w:rPr>
        <w:t>The Convention on the Rights of Persons with Disabilities Training Guide Professional Training Series No. 19</w:t>
      </w:r>
    </w:p>
    <w:p w14:paraId="269D5FCE" w14:textId="77777777" w:rsidR="00A64516" w:rsidRPr="00E3754A" w:rsidRDefault="00A64516" w:rsidP="00A64516">
      <w:pPr>
        <w:rPr>
          <w:lang w:val="en-AU"/>
        </w:rPr>
      </w:pPr>
      <w:r w:rsidRPr="00E3754A">
        <w:rPr>
          <w:lang w:val="en-AU"/>
        </w:rPr>
        <w:t>United Nations</w:t>
      </w:r>
    </w:p>
    <w:p w14:paraId="7E713095" w14:textId="77777777" w:rsidR="00A64516" w:rsidRPr="00E3754A" w:rsidRDefault="00A64516" w:rsidP="00A64516">
      <w:pPr>
        <w:rPr>
          <w:color w:val="174D92"/>
          <w:lang w:val="en-AU"/>
        </w:rPr>
      </w:pPr>
      <w:r w:rsidRPr="00E3754A">
        <w:rPr>
          <w:color w:val="174D92"/>
          <w:lang w:val="en-AU"/>
        </w:rPr>
        <w:t>http://www.ohchr.org/Documents/Publications/CRPD_TrainingGuide_PTS19_EN%20Accessible.pdf</w:t>
      </w:r>
    </w:p>
    <w:p w14:paraId="5761C0A9" w14:textId="77777777" w:rsidR="00A64516" w:rsidRPr="00E3754A" w:rsidRDefault="00A64516" w:rsidP="00A64516">
      <w:pPr>
        <w:rPr>
          <w:lang w:val="en-AU"/>
        </w:rPr>
      </w:pPr>
    </w:p>
    <w:p w14:paraId="5C28E909" w14:textId="77777777" w:rsidR="00A64516" w:rsidRPr="00E3754A" w:rsidRDefault="00A64516" w:rsidP="00A64516">
      <w:pPr>
        <w:rPr>
          <w:i/>
          <w:lang w:val="en-AU"/>
        </w:rPr>
      </w:pPr>
      <w:r w:rsidRPr="00E3754A">
        <w:rPr>
          <w:i/>
          <w:lang w:val="en-AU"/>
        </w:rPr>
        <w:t>Supporting Decision-Making. A Guide for Supporters of People with an Intellectual Disability</w:t>
      </w:r>
    </w:p>
    <w:p w14:paraId="2880EFB6" w14:textId="77777777" w:rsidR="00A64516" w:rsidRPr="00E3754A" w:rsidRDefault="00A64516" w:rsidP="00A64516">
      <w:pPr>
        <w:rPr>
          <w:lang w:val="en-AU"/>
        </w:rPr>
      </w:pPr>
      <w:r w:rsidRPr="00E3754A">
        <w:rPr>
          <w:lang w:val="en-AU"/>
        </w:rPr>
        <w:t>IHC</w:t>
      </w:r>
    </w:p>
    <w:p w14:paraId="7578F31A" w14:textId="77777777" w:rsidR="00A64516" w:rsidRPr="00E3754A" w:rsidRDefault="00A64516" w:rsidP="00A64516">
      <w:pPr>
        <w:rPr>
          <w:color w:val="174D92"/>
          <w:lang w:val="en-AU"/>
        </w:rPr>
      </w:pPr>
      <w:r w:rsidRPr="00E3754A">
        <w:rPr>
          <w:color w:val="174D92"/>
          <w:lang w:val="en-AU"/>
        </w:rPr>
        <w:t>https://www.ihc.org.nz/sites/default/files/documents/10007_1511_SupportedDecisionMaking_Resource_V4.3_PRINT.pdf</w:t>
      </w:r>
    </w:p>
    <w:p w14:paraId="3C13326B" w14:textId="77777777" w:rsidR="00A64516" w:rsidRPr="00E3754A" w:rsidRDefault="00A64516" w:rsidP="00A64516">
      <w:pPr>
        <w:rPr>
          <w:lang w:val="en-AU"/>
        </w:rPr>
      </w:pPr>
    </w:p>
    <w:p w14:paraId="47820405" w14:textId="77777777" w:rsidR="00A64516" w:rsidRPr="00E3754A" w:rsidRDefault="00A64516" w:rsidP="00A64516">
      <w:pPr>
        <w:rPr>
          <w:i/>
          <w:lang w:val="en-AU"/>
        </w:rPr>
      </w:pPr>
      <w:r w:rsidRPr="00E3754A">
        <w:rPr>
          <w:i/>
          <w:lang w:val="en-AU"/>
        </w:rPr>
        <w:t>My life, my decision A handbook for decision makers</w:t>
      </w:r>
    </w:p>
    <w:p w14:paraId="61E102CA" w14:textId="77777777" w:rsidR="00A64516" w:rsidRPr="00E3754A" w:rsidRDefault="00A64516" w:rsidP="00A64516">
      <w:pPr>
        <w:rPr>
          <w:lang w:val="en-AU"/>
        </w:rPr>
      </w:pPr>
      <w:r w:rsidRPr="00E3754A">
        <w:rPr>
          <w:lang w:val="en-AU"/>
        </w:rPr>
        <w:t>Ageing, Disability and Home Care (ADHC)</w:t>
      </w:r>
    </w:p>
    <w:p w14:paraId="1034EA75" w14:textId="77777777" w:rsidR="00A64516" w:rsidRPr="00E3754A" w:rsidRDefault="00A64516" w:rsidP="00A64516">
      <w:pPr>
        <w:rPr>
          <w:color w:val="174D92"/>
          <w:lang w:val="en-AU"/>
        </w:rPr>
      </w:pPr>
      <w:r w:rsidRPr="00E3754A">
        <w:rPr>
          <w:color w:val="174D92"/>
          <w:lang w:val="en-AU"/>
        </w:rPr>
        <w:t>http://www.adhc.nsw.gov.au/__data/assets/file/0004/346198/Handbook_for_decision_makers.pdf</w:t>
      </w:r>
    </w:p>
    <w:p w14:paraId="591353A2" w14:textId="77777777" w:rsidR="00A64516" w:rsidRPr="00E3754A" w:rsidRDefault="00A64516" w:rsidP="00A64516">
      <w:pPr>
        <w:rPr>
          <w:lang w:val="en-AU"/>
        </w:rPr>
      </w:pPr>
    </w:p>
    <w:p w14:paraId="557C527B" w14:textId="77777777" w:rsidR="00A64516" w:rsidRPr="00E3754A" w:rsidRDefault="00A64516" w:rsidP="00A64516">
      <w:pPr>
        <w:rPr>
          <w:i/>
          <w:lang w:val="en-AU"/>
        </w:rPr>
      </w:pPr>
      <w:r w:rsidRPr="00E3754A">
        <w:rPr>
          <w:i/>
          <w:lang w:val="en-AU"/>
        </w:rPr>
        <w:t>Supported Decision Making. A Handbook for Supporters</w:t>
      </w:r>
    </w:p>
    <w:p w14:paraId="1D75105A" w14:textId="77777777" w:rsidR="00A64516" w:rsidRPr="00E3754A" w:rsidRDefault="00A64516" w:rsidP="00A64516">
      <w:pPr>
        <w:rPr>
          <w:lang w:val="en-AU"/>
        </w:rPr>
      </w:pPr>
      <w:r w:rsidRPr="00E3754A">
        <w:rPr>
          <w:lang w:val="en-AU"/>
        </w:rPr>
        <w:t>Ageing, Disability and Home Care (ADHC)</w:t>
      </w:r>
    </w:p>
    <w:p w14:paraId="2F01141A" w14:textId="77777777" w:rsidR="00A64516" w:rsidRPr="00E3754A" w:rsidRDefault="00A64516" w:rsidP="00A64516">
      <w:pPr>
        <w:rPr>
          <w:color w:val="174D92"/>
          <w:lang w:val="en-AU"/>
        </w:rPr>
      </w:pPr>
      <w:r w:rsidRPr="00E3754A">
        <w:rPr>
          <w:color w:val="174D92"/>
          <w:lang w:val="en-AU"/>
        </w:rPr>
        <w:t>http://www.adhc.nsw.gov.au/__data/assets/file/0011/346196/Handbook_for_supporters.pdf</w:t>
      </w:r>
    </w:p>
    <w:p w14:paraId="576D0741" w14:textId="77777777" w:rsidR="00A64516" w:rsidRPr="00E3754A" w:rsidRDefault="00A64516" w:rsidP="00A64516">
      <w:pPr>
        <w:rPr>
          <w:lang w:val="en-AU"/>
        </w:rPr>
      </w:pPr>
    </w:p>
    <w:p w14:paraId="0CBC3257" w14:textId="77777777" w:rsidR="00A64516" w:rsidRPr="00E3754A" w:rsidRDefault="00A64516" w:rsidP="00A64516">
      <w:pPr>
        <w:rPr>
          <w:i/>
          <w:lang w:val="en-AU"/>
        </w:rPr>
      </w:pPr>
      <w:r w:rsidRPr="00E3754A">
        <w:rPr>
          <w:i/>
          <w:lang w:val="en-AU"/>
        </w:rPr>
        <w:t>Supported Decision Making. A Handbook for Facilitators</w:t>
      </w:r>
    </w:p>
    <w:p w14:paraId="2AE3F266" w14:textId="77777777" w:rsidR="00A64516" w:rsidRPr="00E3754A" w:rsidRDefault="00A64516" w:rsidP="00A64516">
      <w:pPr>
        <w:rPr>
          <w:lang w:val="en-AU"/>
        </w:rPr>
      </w:pPr>
      <w:r w:rsidRPr="00E3754A">
        <w:rPr>
          <w:lang w:val="en-AU"/>
        </w:rPr>
        <w:t>Ageing, Disability and Home Care (ADHC)</w:t>
      </w:r>
    </w:p>
    <w:p w14:paraId="05D6EEC7" w14:textId="77777777" w:rsidR="00A64516" w:rsidRPr="00E3754A" w:rsidRDefault="00A64516" w:rsidP="00A64516">
      <w:pPr>
        <w:rPr>
          <w:color w:val="174D92"/>
          <w:lang w:val="en-AU"/>
        </w:rPr>
      </w:pPr>
      <w:r w:rsidRPr="00E3754A">
        <w:rPr>
          <w:color w:val="174D92"/>
          <w:lang w:val="en-AU"/>
        </w:rPr>
        <w:t>http://www.adhc.nsw.gov.au/__data/assets/file/0003/346197/Handbook_for_facilitators.pdf</w:t>
      </w:r>
    </w:p>
    <w:p w14:paraId="2192F2DB" w14:textId="77777777" w:rsidR="00A64516" w:rsidRPr="00E3754A" w:rsidRDefault="00A64516" w:rsidP="00A64516">
      <w:pPr>
        <w:rPr>
          <w:lang w:val="en-AU"/>
        </w:rPr>
      </w:pPr>
    </w:p>
    <w:p w14:paraId="1D7B75A1" w14:textId="77777777" w:rsidR="00A64516" w:rsidRPr="00E3754A" w:rsidRDefault="00A64516" w:rsidP="00A64516">
      <w:pPr>
        <w:rPr>
          <w:i/>
          <w:lang w:val="en-AU"/>
        </w:rPr>
      </w:pPr>
      <w:r w:rsidRPr="00E3754A">
        <w:rPr>
          <w:i/>
          <w:lang w:val="en-AU"/>
        </w:rPr>
        <w:t>Supporting Decision-Making A Guide for Supporters of People with an Intellectual Disability</w:t>
      </w:r>
    </w:p>
    <w:p w14:paraId="245C7290" w14:textId="77777777" w:rsidR="00A64516" w:rsidRPr="00E3754A" w:rsidRDefault="00A64516" w:rsidP="00A64516">
      <w:pPr>
        <w:rPr>
          <w:lang w:val="en-AU"/>
        </w:rPr>
      </w:pPr>
      <w:r w:rsidRPr="00E3754A">
        <w:rPr>
          <w:lang w:val="en-AU"/>
        </w:rPr>
        <w:t>IHC</w:t>
      </w:r>
    </w:p>
    <w:p w14:paraId="09A3C652" w14:textId="77777777" w:rsidR="00A64516" w:rsidRPr="00E3754A" w:rsidRDefault="00A64516" w:rsidP="00A64516">
      <w:pPr>
        <w:rPr>
          <w:color w:val="174D92"/>
          <w:lang w:val="en-AU"/>
        </w:rPr>
      </w:pPr>
      <w:r w:rsidRPr="00E3754A">
        <w:rPr>
          <w:color w:val="174D92"/>
          <w:lang w:val="en-AU"/>
        </w:rPr>
        <w:t>https://www.ihc.org.nz/sites/default/files/documents/10007_1511_SupportedDecisionMaking_Resource_V4.3_PRINT.pdf</w:t>
      </w:r>
    </w:p>
    <w:p w14:paraId="6AFC009E" w14:textId="77777777" w:rsidR="00A64516" w:rsidRPr="00E3754A" w:rsidRDefault="00A64516" w:rsidP="00A64516">
      <w:pPr>
        <w:rPr>
          <w:lang w:val="en-AU"/>
        </w:rPr>
      </w:pPr>
    </w:p>
    <w:p w14:paraId="60B09C84" w14:textId="77777777" w:rsidR="00A64516" w:rsidRPr="00E3754A" w:rsidRDefault="00A64516" w:rsidP="00A64516">
      <w:pPr>
        <w:rPr>
          <w:i/>
          <w:lang w:val="en-AU"/>
        </w:rPr>
      </w:pPr>
      <w:r w:rsidRPr="00E3754A">
        <w:rPr>
          <w:i/>
          <w:lang w:val="en-AU"/>
        </w:rPr>
        <w:t xml:space="preserve">Supporting People with Cognitive Disabilities in Decision Making – Processes and Dilemmas. </w:t>
      </w:r>
    </w:p>
    <w:p w14:paraId="72715C2D" w14:textId="77777777" w:rsidR="00A64516" w:rsidRPr="00E3754A" w:rsidRDefault="00A64516" w:rsidP="00A64516">
      <w:pPr>
        <w:rPr>
          <w:lang w:val="en-AU"/>
        </w:rPr>
      </w:pPr>
      <w:r w:rsidRPr="00E3754A">
        <w:rPr>
          <w:lang w:val="en-AU"/>
        </w:rPr>
        <w:t>Professor Christine Bigby, Dr Mary Whiteside and Professor Jacinta Douglas</w:t>
      </w:r>
    </w:p>
    <w:p w14:paraId="01EA1D97" w14:textId="77777777" w:rsidR="00A64516" w:rsidRPr="00E3754A" w:rsidRDefault="00A64516" w:rsidP="00A64516">
      <w:pPr>
        <w:rPr>
          <w:color w:val="174D92"/>
          <w:lang w:val="en-AU"/>
        </w:rPr>
      </w:pPr>
      <w:r w:rsidRPr="00E3754A">
        <w:rPr>
          <w:color w:val="174D92"/>
          <w:lang w:val="en-AU"/>
        </w:rPr>
        <w:t>http://apo.org.au/files/Resource/final_full_report_for_support_for_decision_making_dilemmas_and_challenges_6_june_2015_0.pdf</w:t>
      </w:r>
    </w:p>
    <w:p w14:paraId="0FF0FDD7" w14:textId="77777777" w:rsidR="00E70249" w:rsidRPr="00E3754A" w:rsidRDefault="00E70249" w:rsidP="00E70249">
      <w:pPr>
        <w:rPr>
          <w:i/>
          <w:lang w:val="en-AU"/>
        </w:rPr>
      </w:pPr>
    </w:p>
    <w:p w14:paraId="596A8CEE" w14:textId="67AD6E16" w:rsidR="00322E7E" w:rsidRPr="00E3754A" w:rsidRDefault="00322E7E" w:rsidP="00322E7E">
      <w:pPr>
        <w:pStyle w:val="Heading5"/>
        <w:rPr>
          <w:lang w:val="en-AU"/>
        </w:rPr>
      </w:pPr>
      <w:r w:rsidRPr="00E3754A">
        <w:rPr>
          <w:lang w:val="en-AU"/>
        </w:rPr>
        <w:t>Circles of support guides and manuals</w:t>
      </w:r>
    </w:p>
    <w:p w14:paraId="03BF00E8" w14:textId="77777777" w:rsidR="00E70249" w:rsidRPr="00E3754A" w:rsidRDefault="00E70249" w:rsidP="00E70249">
      <w:pPr>
        <w:rPr>
          <w:i/>
          <w:lang w:val="en-AU"/>
        </w:rPr>
      </w:pPr>
      <w:r w:rsidRPr="00E3754A">
        <w:rPr>
          <w:i/>
          <w:lang w:val="en-AU"/>
        </w:rPr>
        <w:t>Creating a Circle of Support</w:t>
      </w:r>
    </w:p>
    <w:p w14:paraId="51926CAB" w14:textId="77777777" w:rsidR="00E70249" w:rsidRPr="00E3754A" w:rsidRDefault="00E70249" w:rsidP="00E70249">
      <w:pPr>
        <w:rPr>
          <w:lang w:val="en-AU"/>
        </w:rPr>
      </w:pPr>
      <w:r w:rsidRPr="00E3754A">
        <w:rPr>
          <w:lang w:val="en-AU"/>
        </w:rPr>
        <w:t>Kim Davis</w:t>
      </w:r>
    </w:p>
    <w:p w14:paraId="795FB249" w14:textId="77777777" w:rsidR="00E70249" w:rsidRPr="00E3754A" w:rsidRDefault="00E70249" w:rsidP="00E70249">
      <w:pPr>
        <w:rPr>
          <w:color w:val="1A5092"/>
          <w:lang w:val="en-AU"/>
        </w:rPr>
      </w:pPr>
      <w:r w:rsidRPr="00E3754A">
        <w:rPr>
          <w:color w:val="1A5092"/>
          <w:lang w:val="en-AU"/>
        </w:rPr>
        <w:t>https://www.iidc.indiana.edu/pages/creating-a-circle-of-support</w:t>
      </w:r>
    </w:p>
    <w:p w14:paraId="67479660" w14:textId="77777777" w:rsidR="00E70249" w:rsidRPr="00E3754A" w:rsidRDefault="00E70249" w:rsidP="00E70249">
      <w:pPr>
        <w:rPr>
          <w:color w:val="1A5092"/>
          <w:lang w:val="en-AU"/>
        </w:rPr>
      </w:pPr>
    </w:p>
    <w:p w14:paraId="4060C474" w14:textId="77777777" w:rsidR="00E70249" w:rsidRPr="00E3754A" w:rsidRDefault="00E70249" w:rsidP="00E70249">
      <w:pPr>
        <w:rPr>
          <w:i/>
          <w:color w:val="000000" w:themeColor="text1"/>
          <w:lang w:val="en-AU"/>
        </w:rPr>
      </w:pPr>
      <w:r w:rsidRPr="00E3754A">
        <w:rPr>
          <w:i/>
          <w:color w:val="000000" w:themeColor="text1"/>
          <w:lang w:val="en-AU"/>
        </w:rPr>
        <w:t>Circles of Support. A manual for getting started</w:t>
      </w:r>
    </w:p>
    <w:p w14:paraId="5B5D7F57" w14:textId="77777777" w:rsidR="00E70249" w:rsidRPr="00E3754A" w:rsidRDefault="00E70249" w:rsidP="00E70249">
      <w:pPr>
        <w:rPr>
          <w:color w:val="000000" w:themeColor="text1"/>
          <w:lang w:val="en-AU"/>
        </w:rPr>
      </w:pPr>
      <w:r w:rsidRPr="00E3754A">
        <w:rPr>
          <w:color w:val="000000" w:themeColor="text1"/>
          <w:lang w:val="en-AU"/>
        </w:rPr>
        <w:t>Resourcing Families</w:t>
      </w:r>
    </w:p>
    <w:p w14:paraId="27E47DE8" w14:textId="5279BD12" w:rsidR="00E70249" w:rsidRPr="00E3754A" w:rsidRDefault="00E70249" w:rsidP="00E70249">
      <w:pPr>
        <w:rPr>
          <w:color w:val="1A5092"/>
          <w:lang w:val="en-AU"/>
        </w:rPr>
      </w:pPr>
      <w:r w:rsidRPr="00E3754A">
        <w:rPr>
          <w:color w:val="1A5092"/>
          <w:lang w:val="en-AU"/>
        </w:rPr>
        <w:t>http://www.resourcingfamilies.org.au/uploads/70239/ufiles/Circles_of_Support_Manual_2015.pdf</w:t>
      </w:r>
    </w:p>
    <w:p w14:paraId="366CBF13" w14:textId="77777777" w:rsidR="001C3259" w:rsidRPr="00E3754A" w:rsidRDefault="001C3259" w:rsidP="001C3259">
      <w:pPr>
        <w:pStyle w:val="NoSpacing"/>
        <w:rPr>
          <w:lang w:val="en-AU"/>
        </w:rPr>
      </w:pPr>
    </w:p>
    <w:p w14:paraId="0D7DEB6C" w14:textId="3599B369" w:rsidR="00A64516" w:rsidRPr="00E3754A" w:rsidRDefault="00A64516" w:rsidP="00A64516">
      <w:pPr>
        <w:pStyle w:val="Heading5"/>
        <w:rPr>
          <w:lang w:val="en-AU"/>
        </w:rPr>
      </w:pPr>
      <w:r w:rsidRPr="00E3754A">
        <w:rPr>
          <w:lang w:val="en-AU"/>
        </w:rPr>
        <w:t xml:space="preserve">Organisations &amp; Resource </w:t>
      </w:r>
      <w:r w:rsidR="00EB1990" w:rsidRPr="00E3754A">
        <w:rPr>
          <w:lang w:val="en-AU"/>
        </w:rPr>
        <w:t>Centres</w:t>
      </w:r>
    </w:p>
    <w:p w14:paraId="32BD3F3E" w14:textId="77777777" w:rsidR="00A64516" w:rsidRPr="00E3754A" w:rsidRDefault="00A64516" w:rsidP="00A64516">
      <w:pPr>
        <w:rPr>
          <w:lang w:val="en-AU"/>
        </w:rPr>
      </w:pPr>
      <w:r w:rsidRPr="00E3754A">
        <w:rPr>
          <w:lang w:val="en-AU"/>
        </w:rPr>
        <w:t>Advocacy Denver</w:t>
      </w:r>
    </w:p>
    <w:p w14:paraId="212FF010" w14:textId="77777777" w:rsidR="00A64516" w:rsidRPr="00E3754A" w:rsidRDefault="00A64516" w:rsidP="00A64516">
      <w:pPr>
        <w:rPr>
          <w:color w:val="174D92"/>
          <w:lang w:val="en-AU"/>
        </w:rPr>
      </w:pPr>
      <w:r w:rsidRPr="00E3754A">
        <w:rPr>
          <w:color w:val="174D92"/>
          <w:lang w:val="en-AU"/>
        </w:rPr>
        <w:t>http://www.advocacydenver.org/</w:t>
      </w:r>
    </w:p>
    <w:p w14:paraId="471954AD" w14:textId="77777777" w:rsidR="00A64516" w:rsidRPr="00E3754A" w:rsidRDefault="00A64516" w:rsidP="00A64516">
      <w:pPr>
        <w:rPr>
          <w:color w:val="174D92"/>
          <w:lang w:val="en-AU"/>
        </w:rPr>
      </w:pPr>
    </w:p>
    <w:p w14:paraId="31D259E6" w14:textId="77777777" w:rsidR="00A64516" w:rsidRPr="00E3754A" w:rsidRDefault="00A64516" w:rsidP="00A64516">
      <w:pPr>
        <w:rPr>
          <w:lang w:val="en-AU"/>
        </w:rPr>
      </w:pPr>
      <w:r w:rsidRPr="00E3754A">
        <w:rPr>
          <w:lang w:val="en-AU"/>
        </w:rPr>
        <w:t xml:space="preserve">Centre for Disability Law and Policy National University of Ireland, Galway </w:t>
      </w:r>
    </w:p>
    <w:p w14:paraId="6DCF995B" w14:textId="77777777" w:rsidR="00A64516" w:rsidRPr="00E3754A" w:rsidRDefault="00A64516" w:rsidP="00A64516">
      <w:pPr>
        <w:rPr>
          <w:color w:val="174D92"/>
          <w:lang w:val="en-AU"/>
        </w:rPr>
      </w:pPr>
      <w:r w:rsidRPr="00E3754A">
        <w:rPr>
          <w:color w:val="174D92"/>
          <w:lang w:val="en-AU"/>
        </w:rPr>
        <w:t>www.nuigalway.ie/research/centre_disability_law_policy</w:t>
      </w:r>
    </w:p>
    <w:p w14:paraId="503B18DE" w14:textId="77777777" w:rsidR="00A64516" w:rsidRPr="00E3754A" w:rsidRDefault="00A64516" w:rsidP="00A64516">
      <w:pPr>
        <w:rPr>
          <w:lang w:val="en-AU"/>
        </w:rPr>
      </w:pPr>
    </w:p>
    <w:p w14:paraId="0635CA34" w14:textId="77777777" w:rsidR="00A64516" w:rsidRPr="00E3754A" w:rsidRDefault="00A64516" w:rsidP="00A64516">
      <w:pPr>
        <w:rPr>
          <w:lang w:val="en-AU"/>
        </w:rPr>
      </w:pPr>
      <w:r w:rsidRPr="00E3754A">
        <w:rPr>
          <w:lang w:val="en-AU"/>
        </w:rPr>
        <w:t>National Resource Center for Supported Decision-Making</w:t>
      </w:r>
    </w:p>
    <w:p w14:paraId="589AE04A" w14:textId="77777777" w:rsidR="00A64516" w:rsidRPr="00E3754A" w:rsidRDefault="00A64516" w:rsidP="00A64516">
      <w:pPr>
        <w:rPr>
          <w:color w:val="174D92"/>
          <w:lang w:val="en-AU"/>
        </w:rPr>
      </w:pPr>
      <w:r w:rsidRPr="00E3754A">
        <w:rPr>
          <w:color w:val="174D92"/>
          <w:lang w:val="en-AU"/>
        </w:rPr>
        <w:t>http://supporteddecisionmaking.org/</w:t>
      </w:r>
    </w:p>
    <w:p w14:paraId="489B67F3" w14:textId="77777777" w:rsidR="00A64516" w:rsidRPr="00E3754A" w:rsidRDefault="00A64516" w:rsidP="00A64516">
      <w:pPr>
        <w:rPr>
          <w:lang w:val="en-AU"/>
        </w:rPr>
      </w:pPr>
    </w:p>
    <w:p w14:paraId="0CEFB2CB" w14:textId="77777777" w:rsidR="00A64516" w:rsidRPr="00E3754A" w:rsidRDefault="00A64516" w:rsidP="00A64516">
      <w:pPr>
        <w:rPr>
          <w:lang w:val="en-AU"/>
        </w:rPr>
      </w:pPr>
      <w:r w:rsidRPr="00E3754A">
        <w:rPr>
          <w:lang w:val="en-AU"/>
        </w:rPr>
        <w:t>Nidus Personal Planning Resource Centre</w:t>
      </w:r>
    </w:p>
    <w:p w14:paraId="62AABD3B" w14:textId="77777777" w:rsidR="00A64516" w:rsidRPr="00E3754A" w:rsidRDefault="00A64516" w:rsidP="00A64516">
      <w:pPr>
        <w:rPr>
          <w:color w:val="174D92"/>
          <w:lang w:val="en-AU"/>
        </w:rPr>
      </w:pPr>
      <w:r w:rsidRPr="00E3754A">
        <w:rPr>
          <w:color w:val="174D92"/>
          <w:lang w:val="en-AU"/>
        </w:rPr>
        <w:t>http://www.nidus.ca/</w:t>
      </w:r>
    </w:p>
    <w:p w14:paraId="4B2A7612" w14:textId="77777777" w:rsidR="00A64516" w:rsidRPr="00E3754A" w:rsidRDefault="00A64516" w:rsidP="00A64516">
      <w:pPr>
        <w:rPr>
          <w:lang w:val="en-AU"/>
        </w:rPr>
      </w:pPr>
    </w:p>
    <w:p w14:paraId="3700711F" w14:textId="77777777" w:rsidR="00A64516" w:rsidRPr="00E3754A" w:rsidRDefault="00A64516" w:rsidP="00A64516">
      <w:pPr>
        <w:rPr>
          <w:lang w:val="en-AU"/>
        </w:rPr>
      </w:pPr>
      <w:r w:rsidRPr="00E3754A">
        <w:rPr>
          <w:lang w:val="en-AU"/>
        </w:rPr>
        <w:t>World Network of Users and Survivors of Psychiatry</w:t>
      </w:r>
    </w:p>
    <w:p w14:paraId="27009146" w14:textId="77777777" w:rsidR="00A64516" w:rsidRPr="00E3754A" w:rsidRDefault="00A64516" w:rsidP="00A64516">
      <w:pPr>
        <w:rPr>
          <w:color w:val="174D92"/>
          <w:lang w:val="en-AU"/>
        </w:rPr>
      </w:pPr>
      <w:r w:rsidRPr="00E3754A">
        <w:rPr>
          <w:color w:val="174D92"/>
          <w:lang w:val="en-AU"/>
        </w:rPr>
        <w:t>http://wnusp.rafus.dk/</w:t>
      </w:r>
    </w:p>
    <w:p w14:paraId="5BD1EA31" w14:textId="77777777" w:rsidR="00A64516" w:rsidRPr="00E3754A" w:rsidRDefault="00A64516" w:rsidP="00A64516">
      <w:pPr>
        <w:rPr>
          <w:lang w:val="en-AU"/>
        </w:rPr>
      </w:pPr>
    </w:p>
    <w:p w14:paraId="1F1249BF" w14:textId="77777777" w:rsidR="00A64516" w:rsidRPr="00E3754A" w:rsidRDefault="00A64516" w:rsidP="00A64516">
      <w:pPr>
        <w:pStyle w:val="Heading5"/>
        <w:rPr>
          <w:lang w:val="en-AU"/>
        </w:rPr>
      </w:pPr>
      <w:r w:rsidRPr="00E3754A">
        <w:rPr>
          <w:lang w:val="en-AU"/>
        </w:rPr>
        <w:t>Auckland Disability law</w:t>
      </w:r>
    </w:p>
    <w:p w14:paraId="1BA3E61A" w14:textId="77777777" w:rsidR="00A64516" w:rsidRPr="00E3754A" w:rsidRDefault="00A64516" w:rsidP="00A64516">
      <w:pPr>
        <w:rPr>
          <w:i/>
          <w:lang w:val="en-AU"/>
        </w:rPr>
      </w:pPr>
      <w:r w:rsidRPr="00E3754A">
        <w:rPr>
          <w:i/>
          <w:lang w:val="en-AU"/>
        </w:rPr>
        <w:t>The Conversation: Supported Decision Making Hui Film [Video]</w:t>
      </w:r>
    </w:p>
    <w:p w14:paraId="79BF3262" w14:textId="77777777" w:rsidR="00A64516" w:rsidRPr="00E3754A" w:rsidRDefault="00A64516" w:rsidP="00A64516">
      <w:pPr>
        <w:rPr>
          <w:lang w:val="en-AU"/>
        </w:rPr>
      </w:pPr>
      <w:r w:rsidRPr="00E3754A">
        <w:rPr>
          <w:lang w:val="en-AU"/>
        </w:rPr>
        <w:t>Auckland Disability Law</w:t>
      </w:r>
    </w:p>
    <w:p w14:paraId="36FCC99F" w14:textId="77777777" w:rsidR="00A64516" w:rsidRPr="00E3754A" w:rsidRDefault="00A64516" w:rsidP="00A64516">
      <w:pPr>
        <w:rPr>
          <w:color w:val="174D92"/>
          <w:lang w:val="en-AU"/>
        </w:rPr>
      </w:pPr>
      <w:r w:rsidRPr="00E3754A">
        <w:rPr>
          <w:color w:val="174D92"/>
          <w:lang w:val="en-AU"/>
        </w:rPr>
        <w:t>https://www.youtube.com/watch?v=78j80f1hGRc&amp;feature=youtu.be</w:t>
      </w:r>
    </w:p>
    <w:p w14:paraId="1ACFA185" w14:textId="77777777" w:rsidR="00A64516" w:rsidRPr="00E3754A" w:rsidRDefault="00A64516" w:rsidP="00A64516">
      <w:pPr>
        <w:rPr>
          <w:i/>
          <w:lang w:val="en-AU"/>
        </w:rPr>
      </w:pPr>
      <w:r w:rsidRPr="00E3754A">
        <w:rPr>
          <w:i/>
          <w:lang w:val="en-AU"/>
        </w:rPr>
        <w:t>Auckland Disability Law Videos</w:t>
      </w:r>
    </w:p>
    <w:p w14:paraId="2A742D1B" w14:textId="77777777" w:rsidR="00A64516" w:rsidRPr="00E3754A" w:rsidRDefault="00A64516" w:rsidP="00A64516">
      <w:pPr>
        <w:rPr>
          <w:color w:val="174D92"/>
          <w:lang w:val="en-AU"/>
        </w:rPr>
      </w:pPr>
      <w:r w:rsidRPr="00E3754A">
        <w:rPr>
          <w:color w:val="174D92"/>
          <w:lang w:val="en-AU"/>
        </w:rPr>
        <w:t>http://aucklanddisabilitylaw.org.nz/supported-decision-making-home/supported-decision-making-videos/</w:t>
      </w:r>
    </w:p>
    <w:p w14:paraId="45F32AB7" w14:textId="77777777" w:rsidR="00A64516" w:rsidRPr="00E3754A" w:rsidRDefault="00A64516" w:rsidP="00A64516">
      <w:pPr>
        <w:rPr>
          <w:i/>
          <w:lang w:val="en-AU"/>
        </w:rPr>
      </w:pPr>
      <w:r w:rsidRPr="00E3754A">
        <w:rPr>
          <w:i/>
          <w:lang w:val="en-AU"/>
        </w:rPr>
        <w:t>Let’s talk about Supported Decision Making</w:t>
      </w:r>
    </w:p>
    <w:p w14:paraId="1CBA9A61" w14:textId="77777777" w:rsidR="00A64516" w:rsidRPr="00E3754A" w:rsidRDefault="00A64516" w:rsidP="00A64516">
      <w:pPr>
        <w:rPr>
          <w:color w:val="174D92"/>
          <w:lang w:val="en-AU"/>
        </w:rPr>
      </w:pPr>
      <w:r w:rsidRPr="00E3754A">
        <w:rPr>
          <w:color w:val="174D92"/>
          <w:lang w:val="en-AU"/>
        </w:rPr>
        <w:t>http://aucklanddisabilitylaw.org.nz/wp-content/uploads/resources/Lets+Talk+about+Supported+Decision+Making+Leaflet.pdf</w:t>
      </w:r>
    </w:p>
    <w:p w14:paraId="3DC1444B" w14:textId="77777777" w:rsidR="00A64516" w:rsidRPr="00E3754A" w:rsidRDefault="00A64516" w:rsidP="00A64516">
      <w:pPr>
        <w:rPr>
          <w:i/>
          <w:lang w:val="en-AU"/>
        </w:rPr>
      </w:pPr>
      <w:r w:rsidRPr="00E3754A">
        <w:rPr>
          <w:i/>
          <w:lang w:val="en-AU"/>
        </w:rPr>
        <w:t>Easy Read version:</w:t>
      </w:r>
    </w:p>
    <w:p w14:paraId="3A65CEE8" w14:textId="77777777" w:rsidR="00A64516" w:rsidRPr="00E3754A" w:rsidRDefault="00A64516" w:rsidP="00A64516">
      <w:pPr>
        <w:rPr>
          <w:color w:val="174D92"/>
          <w:lang w:val="en-AU"/>
        </w:rPr>
      </w:pPr>
      <w:r w:rsidRPr="00E3754A">
        <w:rPr>
          <w:color w:val="174D92"/>
          <w:lang w:val="en-AU"/>
        </w:rPr>
        <w:t>http://aucklanddisabilitylaw.org.nz/wp-content/uploads/2016/07/Supported-Decision-Making-Easy-Read.pdf</w:t>
      </w:r>
    </w:p>
    <w:p w14:paraId="6EBF7611" w14:textId="77777777" w:rsidR="00A64516" w:rsidRPr="00E3754A" w:rsidRDefault="00A64516" w:rsidP="00A64516">
      <w:pPr>
        <w:rPr>
          <w:i/>
          <w:lang w:val="en-AU"/>
        </w:rPr>
      </w:pPr>
      <w:r w:rsidRPr="00E3754A">
        <w:rPr>
          <w:i/>
          <w:lang w:val="en-AU"/>
        </w:rPr>
        <w:t>Supported Decision Making: A Roadmap to Success</w:t>
      </w:r>
    </w:p>
    <w:p w14:paraId="42215792" w14:textId="77777777" w:rsidR="00A64516" w:rsidRPr="00E3754A" w:rsidRDefault="00A64516" w:rsidP="00A64516">
      <w:pPr>
        <w:rPr>
          <w:lang w:val="en-AU"/>
        </w:rPr>
      </w:pPr>
      <w:r w:rsidRPr="00E3754A">
        <w:rPr>
          <w:lang w:val="en-AU"/>
        </w:rPr>
        <w:t>http://aucklanddisabilitylaw.org.nz/wp-content/uploads/resources/Supported+Decision+Making+Roadmap+Poster.pdf</w:t>
      </w:r>
    </w:p>
    <w:p w14:paraId="14295D60" w14:textId="1FCC2D56" w:rsidR="00A64516" w:rsidRPr="00E3754A" w:rsidRDefault="00A64516" w:rsidP="00A64516">
      <w:pPr>
        <w:rPr>
          <w:i/>
          <w:lang w:val="en-AU"/>
        </w:rPr>
      </w:pPr>
      <w:r w:rsidRPr="00E3754A">
        <w:rPr>
          <w:i/>
          <w:lang w:val="en-AU"/>
        </w:rPr>
        <w:t>Promoting</w:t>
      </w:r>
      <w:r w:rsidR="006F7CE1" w:rsidRPr="00E3754A">
        <w:rPr>
          <w:i/>
          <w:lang w:val="en-AU"/>
        </w:rPr>
        <w:t xml:space="preserve"> </w:t>
      </w:r>
      <w:r w:rsidRPr="00E3754A">
        <w:rPr>
          <w:i/>
          <w:lang w:val="en-AU"/>
        </w:rPr>
        <w:t>Supported Decision Making and the Protection of Personal and Property Rights Pamphlet</w:t>
      </w:r>
    </w:p>
    <w:p w14:paraId="11EFDD7B" w14:textId="77777777" w:rsidR="00A64516" w:rsidRPr="00E3754A" w:rsidRDefault="00A64516" w:rsidP="00A64516">
      <w:pPr>
        <w:rPr>
          <w:color w:val="174D92"/>
          <w:lang w:val="en-AU"/>
        </w:rPr>
      </w:pPr>
      <w:r w:rsidRPr="00E3754A">
        <w:rPr>
          <w:color w:val="174D92"/>
          <w:lang w:val="en-AU"/>
        </w:rPr>
        <w:t>http://aucklanddisabilitylaw.org.nz/wp-content/uploads/resources/Promoting+Supported+Decision+Making+and+the+PPPR+Act+Pamphlet.pdf</w:t>
      </w:r>
    </w:p>
    <w:p w14:paraId="3A10749A" w14:textId="77777777" w:rsidR="00A64516" w:rsidRPr="00E3754A" w:rsidRDefault="00A64516" w:rsidP="00A64516">
      <w:pPr>
        <w:rPr>
          <w:lang w:val="en-AU"/>
        </w:rPr>
      </w:pPr>
    </w:p>
    <w:p w14:paraId="24560546" w14:textId="77777777" w:rsidR="00A64516" w:rsidRPr="00E3754A" w:rsidRDefault="00A64516" w:rsidP="00A64516">
      <w:pPr>
        <w:pStyle w:val="Heading5"/>
        <w:rPr>
          <w:lang w:val="en-AU"/>
        </w:rPr>
      </w:pPr>
      <w:r w:rsidRPr="00E3754A">
        <w:rPr>
          <w:lang w:val="en-AU"/>
        </w:rPr>
        <w:t>Healthtalk Australia</w:t>
      </w:r>
    </w:p>
    <w:p w14:paraId="1315134B" w14:textId="77777777" w:rsidR="00A64516" w:rsidRPr="00E3754A" w:rsidRDefault="00A64516" w:rsidP="00A64516">
      <w:pPr>
        <w:rPr>
          <w:i/>
          <w:lang w:val="en-AU"/>
        </w:rPr>
      </w:pPr>
      <w:r w:rsidRPr="00E3754A">
        <w:rPr>
          <w:i/>
          <w:lang w:val="en-AU"/>
        </w:rPr>
        <w:t>Supported decision-making (SDM) and challenges to SDM: How to increase participation in decision making</w:t>
      </w:r>
    </w:p>
    <w:p w14:paraId="2A91D4F3" w14:textId="77777777" w:rsidR="00A64516" w:rsidRPr="00E3754A" w:rsidRDefault="00A64516" w:rsidP="00A64516">
      <w:pPr>
        <w:rPr>
          <w:color w:val="174D92"/>
          <w:lang w:val="en-AU"/>
        </w:rPr>
      </w:pPr>
      <w:r w:rsidRPr="00E3754A">
        <w:rPr>
          <w:color w:val="174D92"/>
          <w:lang w:val="en-AU"/>
        </w:rPr>
        <w:t>http://research.healthtalkaustralia.org/supported-decision-making/support-in-treatment-decisions</w:t>
      </w:r>
    </w:p>
    <w:p w14:paraId="37A34AAA" w14:textId="77777777" w:rsidR="00A64516" w:rsidRPr="00E3754A" w:rsidRDefault="00A64516" w:rsidP="00A64516">
      <w:pPr>
        <w:rPr>
          <w:i/>
          <w:lang w:val="en-AU"/>
        </w:rPr>
      </w:pPr>
      <w:r w:rsidRPr="00E3754A">
        <w:rPr>
          <w:i/>
          <w:lang w:val="en-AU"/>
        </w:rPr>
        <w:t>Supported decision-making (SDM) and challenges to SDM: Support in Treatment Decisions</w:t>
      </w:r>
    </w:p>
    <w:p w14:paraId="0E74342D" w14:textId="77777777" w:rsidR="00A64516" w:rsidRPr="00E3754A" w:rsidRDefault="00A64516" w:rsidP="00A64516">
      <w:pPr>
        <w:rPr>
          <w:color w:val="174D92"/>
          <w:lang w:val="en-AU"/>
        </w:rPr>
      </w:pPr>
      <w:r w:rsidRPr="00E3754A">
        <w:rPr>
          <w:color w:val="174D92"/>
          <w:lang w:val="en-AU"/>
        </w:rPr>
        <w:t>http://research.healthtalkaustralia.org/supported-decision-making/how-to-increase-participation-in-decision-making</w:t>
      </w:r>
    </w:p>
    <w:p w14:paraId="1B0262B7" w14:textId="77777777" w:rsidR="00A64516" w:rsidRPr="00E3754A" w:rsidRDefault="00A64516" w:rsidP="00A64516">
      <w:pPr>
        <w:rPr>
          <w:i/>
          <w:lang w:val="en-AU"/>
        </w:rPr>
      </w:pPr>
      <w:r w:rsidRPr="00E3754A">
        <w:rPr>
          <w:i/>
          <w:lang w:val="en-AU"/>
        </w:rPr>
        <w:t>Relationships, support and challenges: Family and friends</w:t>
      </w:r>
    </w:p>
    <w:p w14:paraId="4591BB15" w14:textId="77777777" w:rsidR="00A64516" w:rsidRPr="00E3754A" w:rsidRDefault="00A64516" w:rsidP="00A64516">
      <w:pPr>
        <w:rPr>
          <w:color w:val="174D92"/>
          <w:lang w:val="en-AU"/>
        </w:rPr>
      </w:pPr>
      <w:r w:rsidRPr="00E3754A">
        <w:rPr>
          <w:color w:val="174D92"/>
          <w:lang w:val="en-AU"/>
        </w:rPr>
        <w:t>http://research.healthtalkaustralia.org/supported-decision-making/family-and-friends</w:t>
      </w:r>
    </w:p>
    <w:p w14:paraId="02C2DBBD" w14:textId="77777777" w:rsidR="00A64516" w:rsidRPr="00E3754A" w:rsidRDefault="00A64516" w:rsidP="00A64516">
      <w:pPr>
        <w:rPr>
          <w:lang w:val="en-AU"/>
        </w:rPr>
      </w:pPr>
    </w:p>
    <w:p w14:paraId="0874A39A" w14:textId="77777777" w:rsidR="00A64516" w:rsidRPr="00E3754A" w:rsidRDefault="00A64516" w:rsidP="00A64516">
      <w:pPr>
        <w:rPr>
          <w:lang w:val="en-AU"/>
        </w:rPr>
      </w:pPr>
    </w:p>
    <w:p w14:paraId="3D2D6956" w14:textId="77777777" w:rsidR="00177FAC" w:rsidRPr="00E3754A" w:rsidRDefault="00177FAC">
      <w:pPr>
        <w:spacing w:line="240" w:lineRule="auto"/>
        <w:jc w:val="left"/>
        <w:rPr>
          <w:lang w:val="en-AU"/>
        </w:rPr>
      </w:pPr>
    </w:p>
    <w:p w14:paraId="7287A399" w14:textId="77777777" w:rsidR="004061EA" w:rsidRPr="00E3754A" w:rsidRDefault="004061EA" w:rsidP="008F2279">
      <w:pPr>
        <w:pStyle w:val="NoSpacing"/>
        <w:rPr>
          <w:lang w:val="en-AU"/>
        </w:rPr>
      </w:pPr>
    </w:p>
    <w:p w14:paraId="2FA7C292" w14:textId="04EB1C30" w:rsidR="001C3259" w:rsidRPr="00E3754A" w:rsidRDefault="001C3259">
      <w:pPr>
        <w:spacing w:line="240" w:lineRule="auto"/>
        <w:jc w:val="left"/>
        <w:rPr>
          <w:lang w:val="en-AU"/>
        </w:rPr>
      </w:pPr>
      <w:r w:rsidRPr="00E3754A">
        <w:rPr>
          <w:lang w:val="en-AU"/>
        </w:rPr>
        <w:br w:type="page"/>
      </w:r>
    </w:p>
    <w:tbl>
      <w:tblPr>
        <w:tblStyle w:val="Style5"/>
        <w:tblW w:w="5000" w:type="pct"/>
        <w:tblLook w:val="04A0" w:firstRow="1" w:lastRow="0" w:firstColumn="1" w:lastColumn="0" w:noHBand="0" w:noVBand="1"/>
      </w:tblPr>
      <w:tblGrid>
        <w:gridCol w:w="9236"/>
      </w:tblGrid>
      <w:tr w:rsidR="008F2279" w:rsidRPr="00E3754A" w14:paraId="3660412D" w14:textId="77777777" w:rsidTr="008F2279">
        <w:tc>
          <w:tcPr>
            <w:tcW w:w="5000" w:type="pct"/>
          </w:tcPr>
          <w:p w14:paraId="5E3BC778" w14:textId="10267E61" w:rsidR="008F2279" w:rsidRPr="00E3754A" w:rsidRDefault="008F2279" w:rsidP="008F2279">
            <w:pPr>
              <w:pStyle w:val="Heading1"/>
              <w:rPr>
                <w:lang w:val="en-AU"/>
              </w:rPr>
            </w:pPr>
            <w:bookmarkStart w:id="89" w:name="_Toc337970307"/>
            <w:bookmarkStart w:id="90" w:name="_Toc339036873"/>
            <w:r w:rsidRPr="00E3754A">
              <w:rPr>
                <w:lang w:val="en-AU"/>
              </w:rPr>
              <w:t>Appendix A</w:t>
            </w:r>
            <w:bookmarkEnd w:id="89"/>
            <w:bookmarkEnd w:id="90"/>
          </w:p>
        </w:tc>
      </w:tr>
    </w:tbl>
    <w:p w14:paraId="738BFE7F" w14:textId="77777777" w:rsidR="008F2279" w:rsidRPr="00E3754A" w:rsidRDefault="008F2279" w:rsidP="008F2279">
      <w:pPr>
        <w:pStyle w:val="NoSpacing"/>
        <w:rPr>
          <w:lang w:val="en-AU"/>
        </w:rPr>
      </w:pPr>
    </w:p>
    <w:tbl>
      <w:tblPr>
        <w:tblStyle w:val="Style5"/>
        <w:tblW w:w="5000" w:type="pct"/>
        <w:tblLook w:val="04A0" w:firstRow="1" w:lastRow="0" w:firstColumn="1" w:lastColumn="0" w:noHBand="0" w:noVBand="1"/>
      </w:tblPr>
      <w:tblGrid>
        <w:gridCol w:w="9236"/>
      </w:tblGrid>
      <w:tr w:rsidR="008F2279" w:rsidRPr="00E3754A" w14:paraId="4C743051" w14:textId="77777777" w:rsidTr="008F2279">
        <w:tc>
          <w:tcPr>
            <w:tcW w:w="5000" w:type="pct"/>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195094"/>
          </w:tcPr>
          <w:p w14:paraId="5CAF4EF0" w14:textId="492BA6D0" w:rsidR="008F2279" w:rsidRPr="00E3754A" w:rsidRDefault="008F2279" w:rsidP="009679FA">
            <w:pPr>
              <w:pStyle w:val="Heading3"/>
              <w:rPr>
                <w:lang w:val="en-AU"/>
              </w:rPr>
            </w:pPr>
            <w:bookmarkStart w:id="91" w:name="_Toc337970308"/>
            <w:bookmarkStart w:id="92" w:name="_Toc339036874"/>
            <w:r w:rsidRPr="00E3754A">
              <w:rPr>
                <w:lang w:val="en-AU"/>
              </w:rPr>
              <w:t>Review Questions</w:t>
            </w:r>
            <w:bookmarkEnd w:id="91"/>
            <w:bookmarkEnd w:id="92"/>
          </w:p>
        </w:tc>
      </w:tr>
    </w:tbl>
    <w:p w14:paraId="539A6DB4" w14:textId="2FCB1692" w:rsidR="008F2279" w:rsidRPr="00E3754A" w:rsidRDefault="008F2279" w:rsidP="008F2279">
      <w:pPr>
        <w:pStyle w:val="NoSpacing"/>
        <w:rPr>
          <w:lang w:val="en-AU"/>
        </w:rPr>
      </w:pPr>
      <w:r w:rsidRPr="00E3754A">
        <w:rPr>
          <w:lang w:val="en-AU"/>
        </w:rPr>
        <w:t xml:space="preserve">As noted in the introduction to this review, the Office for Disability Issues identified the questions that underpinned this review. They specifically posed a two-phased primary question, and 19 additional secondary questions, which fell broadly into two groupings: legal capacity, and supported decision-making. </w:t>
      </w:r>
    </w:p>
    <w:p w14:paraId="5EEABED3" w14:textId="1D2DB5E2" w:rsidR="008F2279" w:rsidRPr="00E3754A" w:rsidRDefault="008F2279" w:rsidP="00E444D8">
      <w:pPr>
        <w:pStyle w:val="Heading4"/>
        <w:rPr>
          <w:lang w:val="en-AU"/>
        </w:rPr>
      </w:pPr>
      <w:r w:rsidRPr="00E3754A">
        <w:rPr>
          <w:lang w:val="en-AU"/>
        </w:rPr>
        <w:t>Primary Questions</w:t>
      </w:r>
    </w:p>
    <w:p w14:paraId="6EA785D5" w14:textId="33644CD5" w:rsidR="008F2279" w:rsidRPr="00E3754A" w:rsidRDefault="008F2279" w:rsidP="008F2279">
      <w:pPr>
        <w:pStyle w:val="NoSpacing"/>
        <w:rPr>
          <w:lang w:val="en-AU"/>
        </w:rPr>
      </w:pPr>
      <w:r w:rsidRPr="00E3754A">
        <w:rPr>
          <w:lang w:val="en-AU"/>
        </w:rPr>
        <w:t>What can be learned from literature that has been published since 1 January 2010 that examines, discusses, provides case studies/individual stories, or reviews/evaluates the practice of disabled people exercising their legal capacity</w:t>
      </w:r>
      <w:r w:rsidR="009804E9" w:rsidRPr="00E3754A">
        <w:rPr>
          <w:lang w:val="en-AU"/>
        </w:rPr>
        <w:t xml:space="preserve">. </w:t>
      </w:r>
      <w:r w:rsidRPr="00E3754A">
        <w:rPr>
          <w:lang w:val="en-AU"/>
        </w:rPr>
        <w:t>Particularly, what has been done to enable or better support disabled people’s exercise of legal capacity? and</w:t>
      </w:r>
    </w:p>
    <w:p w14:paraId="6CB06D16" w14:textId="79048B98" w:rsidR="008F2279" w:rsidRPr="00E3754A" w:rsidRDefault="008F2279" w:rsidP="008F2279">
      <w:pPr>
        <w:pStyle w:val="NoSpacing"/>
        <w:rPr>
          <w:lang w:val="en-AU"/>
        </w:rPr>
      </w:pPr>
      <w:r w:rsidRPr="00E3754A">
        <w:rPr>
          <w:lang w:val="en-AU"/>
        </w:rPr>
        <w:t xml:space="preserve">What are the trends in the evolution and development of thinking and practice over time of support for disabled people’s exercise of </w:t>
      </w:r>
      <w:r w:rsidR="00B62BE8" w:rsidRPr="00E3754A">
        <w:rPr>
          <w:lang w:val="en-AU"/>
        </w:rPr>
        <w:t>legal capacity, where relevant?</w:t>
      </w:r>
    </w:p>
    <w:p w14:paraId="4755D7EF" w14:textId="77777777" w:rsidR="008F2279" w:rsidRPr="00E3754A" w:rsidRDefault="008F2279" w:rsidP="00E444D8">
      <w:pPr>
        <w:pStyle w:val="Heading4"/>
        <w:rPr>
          <w:lang w:val="en-AU"/>
        </w:rPr>
      </w:pPr>
      <w:r w:rsidRPr="00E3754A">
        <w:rPr>
          <w:lang w:val="en-AU"/>
        </w:rPr>
        <w:t>Secondary Questions</w:t>
      </w:r>
    </w:p>
    <w:p w14:paraId="4349B7E0" w14:textId="77777777" w:rsidR="008F2279" w:rsidRPr="00E3754A" w:rsidRDefault="008F2279" w:rsidP="008F2279">
      <w:pPr>
        <w:pStyle w:val="NoSpacing"/>
        <w:rPr>
          <w:i/>
          <w:lang w:val="en-AU"/>
        </w:rPr>
      </w:pPr>
      <w:r w:rsidRPr="00E3754A">
        <w:rPr>
          <w:i/>
          <w:lang w:val="en-AU"/>
        </w:rPr>
        <w:t>Exercise of legal capacity</w:t>
      </w:r>
    </w:p>
    <w:p w14:paraId="7E1FF439" w14:textId="77777777" w:rsidR="008F2279" w:rsidRPr="00E3754A" w:rsidRDefault="008F2279" w:rsidP="007E51DB">
      <w:pPr>
        <w:pStyle w:val="NoSpacing"/>
        <w:numPr>
          <w:ilvl w:val="0"/>
          <w:numId w:val="9"/>
        </w:numPr>
        <w:rPr>
          <w:lang w:val="en-AU"/>
        </w:rPr>
      </w:pPr>
      <w:r w:rsidRPr="00E3754A">
        <w:rPr>
          <w:lang w:val="en-AU"/>
        </w:rPr>
        <w:t>What evidence exists that there is a problem with disabled people exercising their legal capacity, and what is the impact on those disabled people and others?</w:t>
      </w:r>
    </w:p>
    <w:p w14:paraId="2AE92578" w14:textId="77777777" w:rsidR="008F2279" w:rsidRPr="00E3754A" w:rsidRDefault="008F2279" w:rsidP="007E51DB">
      <w:pPr>
        <w:pStyle w:val="NoSpacing"/>
        <w:numPr>
          <w:ilvl w:val="0"/>
          <w:numId w:val="9"/>
        </w:numPr>
        <w:rPr>
          <w:lang w:val="en-AU"/>
        </w:rPr>
      </w:pPr>
      <w:r w:rsidRPr="00E3754A">
        <w:rPr>
          <w:lang w:val="en-AU"/>
        </w:rPr>
        <w:t>What does the population of affected disabled people look like (for example, number of people, proportion of the population, other relevant demographic information)?</w:t>
      </w:r>
    </w:p>
    <w:p w14:paraId="4D4F42B0" w14:textId="77777777" w:rsidR="008F2279" w:rsidRPr="00E3754A" w:rsidRDefault="008F2279" w:rsidP="007E51DB">
      <w:pPr>
        <w:pStyle w:val="NoSpacing"/>
        <w:numPr>
          <w:ilvl w:val="0"/>
          <w:numId w:val="9"/>
        </w:numPr>
        <w:rPr>
          <w:lang w:val="en-AU"/>
        </w:rPr>
      </w:pPr>
      <w:r w:rsidRPr="00E3754A">
        <w:rPr>
          <w:lang w:val="en-AU"/>
        </w:rPr>
        <w:t>How do disabled people access support for exercising their legal capacity?</w:t>
      </w:r>
    </w:p>
    <w:p w14:paraId="74BE2876" w14:textId="77777777" w:rsidR="008F2279" w:rsidRPr="00E3754A" w:rsidRDefault="008F2279" w:rsidP="007E51DB">
      <w:pPr>
        <w:pStyle w:val="NoSpacing"/>
        <w:numPr>
          <w:ilvl w:val="0"/>
          <w:numId w:val="9"/>
        </w:numPr>
        <w:rPr>
          <w:lang w:val="en-AU"/>
        </w:rPr>
      </w:pPr>
      <w:r w:rsidRPr="00E3754A">
        <w:rPr>
          <w:lang w:val="en-AU"/>
        </w:rPr>
        <w:t>Have there been any changes in the treatment, by society, of disabled people exercising their legal capacity?</w:t>
      </w:r>
    </w:p>
    <w:p w14:paraId="3E231E7E" w14:textId="77777777" w:rsidR="008F2279" w:rsidRPr="00E3754A" w:rsidRDefault="008F2279" w:rsidP="007E51DB">
      <w:pPr>
        <w:pStyle w:val="NoSpacing"/>
        <w:numPr>
          <w:ilvl w:val="0"/>
          <w:numId w:val="9"/>
        </w:numPr>
        <w:rPr>
          <w:lang w:val="en-AU"/>
        </w:rPr>
      </w:pPr>
      <w:r w:rsidRPr="00E3754A">
        <w:rPr>
          <w:lang w:val="en-AU"/>
        </w:rPr>
        <w:t>How are the rights for promoting a disabled person’s autonomy versus safeguards for their protection and safety being balanced?</w:t>
      </w:r>
    </w:p>
    <w:p w14:paraId="6455A9B4" w14:textId="77777777" w:rsidR="008F2279" w:rsidRPr="00E3754A" w:rsidRDefault="008F2279" w:rsidP="007E51DB">
      <w:pPr>
        <w:pStyle w:val="NoSpacing"/>
        <w:numPr>
          <w:ilvl w:val="0"/>
          <w:numId w:val="9"/>
        </w:numPr>
        <w:rPr>
          <w:lang w:val="en-AU"/>
        </w:rPr>
      </w:pPr>
      <w:r w:rsidRPr="00E3754A">
        <w:rPr>
          <w:lang w:val="en-AU"/>
        </w:rPr>
        <w:t>What forms of better support for disabled people’s exercise of legal capacity have been implemented or signalled?</w:t>
      </w:r>
    </w:p>
    <w:p w14:paraId="455C47BD" w14:textId="77777777" w:rsidR="008F2279" w:rsidRPr="00E3754A" w:rsidRDefault="008F2279" w:rsidP="007E51DB">
      <w:pPr>
        <w:pStyle w:val="NoSpacing"/>
        <w:numPr>
          <w:ilvl w:val="0"/>
          <w:numId w:val="9"/>
        </w:numPr>
        <w:rPr>
          <w:lang w:val="en-AU"/>
        </w:rPr>
      </w:pPr>
      <w:r w:rsidRPr="00E3754A">
        <w:rPr>
          <w:lang w:val="en-AU"/>
        </w:rPr>
        <w:t>Has there been any discussion or change to transition or move from consideration of a person’s ‘best interests’ to a person’s ‘rights, will and preference’ in the context of disabled people exercising their legal capacity?</w:t>
      </w:r>
    </w:p>
    <w:p w14:paraId="00390657" w14:textId="77777777" w:rsidR="008F2279" w:rsidRPr="00E3754A" w:rsidRDefault="008F2279" w:rsidP="007E51DB">
      <w:pPr>
        <w:pStyle w:val="NoSpacing"/>
        <w:numPr>
          <w:ilvl w:val="0"/>
          <w:numId w:val="9"/>
        </w:numPr>
        <w:rPr>
          <w:lang w:val="en-AU"/>
        </w:rPr>
      </w:pPr>
      <w:r w:rsidRPr="00E3754A">
        <w:rPr>
          <w:lang w:val="en-AU"/>
        </w:rPr>
        <w:t>What safeguards have been developed and put in practice alongside any moves to support disabled people’s exercise of legal capacity?</w:t>
      </w:r>
    </w:p>
    <w:p w14:paraId="26B4E191" w14:textId="77777777" w:rsidR="008F2279" w:rsidRPr="00E3754A" w:rsidRDefault="008F2279" w:rsidP="007E51DB">
      <w:pPr>
        <w:pStyle w:val="NoSpacing"/>
        <w:numPr>
          <w:ilvl w:val="0"/>
          <w:numId w:val="9"/>
        </w:numPr>
        <w:rPr>
          <w:lang w:val="en-AU"/>
        </w:rPr>
      </w:pPr>
      <w:r w:rsidRPr="00E3754A">
        <w:rPr>
          <w:lang w:val="en-AU"/>
        </w:rPr>
        <w:t>What recognition and/or protection has been put in place for those people supporting a disabled person to exercise their legal capacity?</w:t>
      </w:r>
    </w:p>
    <w:p w14:paraId="043E46BB" w14:textId="77777777" w:rsidR="008F2279" w:rsidRPr="00E3754A" w:rsidRDefault="008F2279" w:rsidP="007E51DB">
      <w:pPr>
        <w:pStyle w:val="NoSpacing"/>
        <w:numPr>
          <w:ilvl w:val="0"/>
          <w:numId w:val="9"/>
        </w:numPr>
        <w:rPr>
          <w:lang w:val="en-AU"/>
        </w:rPr>
      </w:pPr>
      <w:r w:rsidRPr="00E3754A">
        <w:rPr>
          <w:lang w:val="en-AU"/>
        </w:rPr>
        <w:t>Is there any discourse on the intersection between reasonable accommodation and support for disabled people’s exercise of legal capacity?</w:t>
      </w:r>
    </w:p>
    <w:p w14:paraId="642C27A2" w14:textId="2CEAC2CC" w:rsidR="008F2279" w:rsidRPr="00E3754A" w:rsidRDefault="008F2279" w:rsidP="007E51DB">
      <w:pPr>
        <w:pStyle w:val="NoSpacing"/>
        <w:numPr>
          <w:ilvl w:val="0"/>
          <w:numId w:val="9"/>
        </w:numPr>
        <w:rPr>
          <w:lang w:val="en-AU"/>
        </w:rPr>
      </w:pPr>
      <w:r w:rsidRPr="00E3754A">
        <w:rPr>
          <w:lang w:val="en-AU"/>
        </w:rPr>
        <w:t>Has there been any recognition in law or policy by a government regarding the obligation in Article 12(2) that: ‘</w:t>
      </w:r>
      <w:r w:rsidR="00FA30D7" w:rsidRPr="00E3754A">
        <w:rPr>
          <w:lang w:val="en-AU"/>
        </w:rPr>
        <w:t>States parties</w:t>
      </w:r>
      <w:r w:rsidRPr="00E3754A">
        <w:rPr>
          <w:lang w:val="en-AU"/>
        </w:rPr>
        <w:t xml:space="preserve"> shall take appropriate measures to provide access to persons with disabilities to the support they may require in exercising their legal capacity.’?</w:t>
      </w:r>
    </w:p>
    <w:p w14:paraId="0CF9586F" w14:textId="77777777" w:rsidR="008F2279" w:rsidRPr="00E3754A" w:rsidRDefault="008F2279" w:rsidP="007E51DB">
      <w:pPr>
        <w:pStyle w:val="NoSpacing"/>
        <w:numPr>
          <w:ilvl w:val="0"/>
          <w:numId w:val="9"/>
        </w:numPr>
        <w:rPr>
          <w:lang w:val="en-AU"/>
        </w:rPr>
      </w:pPr>
      <w:r w:rsidRPr="00E3754A">
        <w:rPr>
          <w:lang w:val="en-AU"/>
        </w:rPr>
        <w:t>Is there any evidence measuring the impact from increased support for disabled people’s exercise of legal capacity?</w:t>
      </w:r>
    </w:p>
    <w:p w14:paraId="54C240FC" w14:textId="3DFCFFEC" w:rsidR="008F2279" w:rsidRPr="00E3754A" w:rsidRDefault="008F2279" w:rsidP="007E51DB">
      <w:pPr>
        <w:pStyle w:val="NoSpacing"/>
        <w:numPr>
          <w:ilvl w:val="0"/>
          <w:numId w:val="9"/>
        </w:numPr>
        <w:rPr>
          <w:lang w:val="en-AU"/>
        </w:rPr>
      </w:pPr>
      <w:r w:rsidRPr="00E3754A">
        <w:rPr>
          <w:lang w:val="en-AU"/>
        </w:rPr>
        <w:t>Has there been any change in the practice and mandate for substitute decision-making?</w:t>
      </w:r>
    </w:p>
    <w:p w14:paraId="3B43F943" w14:textId="77777777" w:rsidR="008F2279" w:rsidRPr="00E3754A" w:rsidRDefault="008F2279" w:rsidP="008F2279">
      <w:pPr>
        <w:pStyle w:val="NoSpacing"/>
        <w:rPr>
          <w:lang w:val="en-AU"/>
        </w:rPr>
      </w:pPr>
    </w:p>
    <w:p w14:paraId="39BE4087" w14:textId="77777777" w:rsidR="008F2279" w:rsidRPr="00E3754A" w:rsidRDefault="008F2279" w:rsidP="008F2279">
      <w:pPr>
        <w:pStyle w:val="NoSpacing"/>
        <w:rPr>
          <w:i/>
          <w:lang w:val="en-AU"/>
        </w:rPr>
      </w:pPr>
      <w:r w:rsidRPr="00E3754A">
        <w:rPr>
          <w:i/>
          <w:lang w:val="en-AU"/>
        </w:rPr>
        <w:t>Supported decision-making</w:t>
      </w:r>
    </w:p>
    <w:p w14:paraId="52BE55EE" w14:textId="77777777" w:rsidR="008F2279" w:rsidRPr="00E3754A" w:rsidRDefault="008F2279" w:rsidP="007E51DB">
      <w:pPr>
        <w:pStyle w:val="NoSpacing"/>
        <w:numPr>
          <w:ilvl w:val="0"/>
          <w:numId w:val="9"/>
        </w:numPr>
        <w:rPr>
          <w:lang w:val="en-AU"/>
        </w:rPr>
      </w:pPr>
      <w:r w:rsidRPr="00E3754A">
        <w:rPr>
          <w:lang w:val="en-AU"/>
        </w:rPr>
        <w:t>How is support for disabled people’s exercise of legal capacity being distinguished from supported decision-making?</w:t>
      </w:r>
    </w:p>
    <w:p w14:paraId="6AF371F6" w14:textId="77777777" w:rsidR="008F2279" w:rsidRPr="00E3754A" w:rsidRDefault="008F2279" w:rsidP="007E51DB">
      <w:pPr>
        <w:pStyle w:val="NoSpacing"/>
        <w:numPr>
          <w:ilvl w:val="0"/>
          <w:numId w:val="9"/>
        </w:numPr>
        <w:rPr>
          <w:lang w:val="en-AU"/>
        </w:rPr>
      </w:pPr>
      <w:r w:rsidRPr="00E3754A">
        <w:rPr>
          <w:lang w:val="en-AU"/>
        </w:rPr>
        <w:t>What forms of supported decision-making have been implemented?</w:t>
      </w:r>
    </w:p>
    <w:p w14:paraId="1867D6CB" w14:textId="77777777" w:rsidR="008F2279" w:rsidRPr="00E3754A" w:rsidRDefault="008F2279" w:rsidP="007E51DB">
      <w:pPr>
        <w:pStyle w:val="NoSpacing"/>
        <w:numPr>
          <w:ilvl w:val="0"/>
          <w:numId w:val="9"/>
        </w:numPr>
        <w:rPr>
          <w:lang w:val="en-AU"/>
        </w:rPr>
      </w:pPr>
      <w:r w:rsidRPr="00E3754A">
        <w:rPr>
          <w:lang w:val="en-AU"/>
        </w:rPr>
        <w:t>Is there any evidence measuring the impact from recognition/practice of supported decision-making?</w:t>
      </w:r>
    </w:p>
    <w:p w14:paraId="62A7D6ED" w14:textId="77777777" w:rsidR="008F2279" w:rsidRPr="00E3754A" w:rsidRDefault="008F2279" w:rsidP="007E51DB">
      <w:pPr>
        <w:pStyle w:val="NoSpacing"/>
        <w:numPr>
          <w:ilvl w:val="0"/>
          <w:numId w:val="9"/>
        </w:numPr>
        <w:rPr>
          <w:lang w:val="en-AU"/>
        </w:rPr>
      </w:pPr>
      <w:r w:rsidRPr="00E3754A">
        <w:rPr>
          <w:lang w:val="en-AU"/>
        </w:rPr>
        <w:t>Does recognition of supported decision-making need legislation to ensure supported decisions are implemented and protection assured for the disabled decision-maker and their supporters?</w:t>
      </w:r>
    </w:p>
    <w:p w14:paraId="5BED303E" w14:textId="77777777" w:rsidR="008F2279" w:rsidRPr="00E3754A" w:rsidRDefault="008F2279" w:rsidP="007E51DB">
      <w:pPr>
        <w:pStyle w:val="NoSpacing"/>
        <w:numPr>
          <w:ilvl w:val="0"/>
          <w:numId w:val="9"/>
        </w:numPr>
        <w:rPr>
          <w:lang w:val="en-AU"/>
        </w:rPr>
      </w:pPr>
      <w:r w:rsidRPr="00E3754A">
        <w:rPr>
          <w:lang w:val="en-AU"/>
        </w:rPr>
        <w:t>How far can supported decision-making be applied before it loses real or practical connection with a disabled person’s will and preference, and in practice what is happening is very nearly or already substitute decision-making in their best interests?</w:t>
      </w:r>
    </w:p>
    <w:p w14:paraId="356094D0" w14:textId="77777777" w:rsidR="008F2279" w:rsidRPr="00E3754A" w:rsidRDefault="008F2279" w:rsidP="007E51DB">
      <w:pPr>
        <w:pStyle w:val="NoSpacing"/>
        <w:numPr>
          <w:ilvl w:val="0"/>
          <w:numId w:val="9"/>
        </w:numPr>
        <w:rPr>
          <w:lang w:val="en-AU"/>
        </w:rPr>
      </w:pPr>
      <w:r w:rsidRPr="00E3754A">
        <w:rPr>
          <w:lang w:val="en-AU"/>
        </w:rPr>
        <w:t>Is there any discourse on the impact on a disabled person’s right to privacy or informed consent in the context of support to exercise legal capacity?</w:t>
      </w:r>
    </w:p>
    <w:p w14:paraId="5539C4AE" w14:textId="77777777" w:rsidR="008F2279" w:rsidRPr="00E3754A" w:rsidRDefault="008F2279" w:rsidP="008F2279">
      <w:pPr>
        <w:pStyle w:val="NoSpacing"/>
        <w:rPr>
          <w:lang w:val="en-AU"/>
        </w:rPr>
      </w:pPr>
    </w:p>
    <w:p w14:paraId="243B2E3D" w14:textId="77777777" w:rsidR="008F2279" w:rsidRPr="00E3754A" w:rsidRDefault="008F2279" w:rsidP="008F2279">
      <w:pPr>
        <w:pStyle w:val="NoSpacing"/>
        <w:rPr>
          <w:lang w:val="en-AU"/>
        </w:rPr>
      </w:pPr>
    </w:p>
    <w:p w14:paraId="0D69AAA3" w14:textId="77777777" w:rsidR="008F2279" w:rsidRPr="00E3754A" w:rsidRDefault="008F2279" w:rsidP="008F2279">
      <w:pPr>
        <w:pStyle w:val="NoSpacing"/>
        <w:rPr>
          <w:lang w:val="en-AU"/>
        </w:rPr>
      </w:pPr>
    </w:p>
    <w:p w14:paraId="29C3E5D7" w14:textId="0ECEF16B" w:rsidR="00892835" w:rsidRPr="00E3754A" w:rsidRDefault="00892835">
      <w:pPr>
        <w:spacing w:line="240" w:lineRule="auto"/>
        <w:jc w:val="left"/>
        <w:rPr>
          <w:lang w:val="en-AU"/>
        </w:rPr>
      </w:pPr>
      <w:r w:rsidRPr="00E3754A">
        <w:rPr>
          <w:lang w:val="en-AU"/>
        </w:rPr>
        <w:br w:type="page"/>
      </w:r>
    </w:p>
    <w:tbl>
      <w:tblPr>
        <w:tblStyle w:val="Style5"/>
        <w:tblW w:w="5000" w:type="pct"/>
        <w:tblLook w:val="04A0" w:firstRow="1" w:lastRow="0" w:firstColumn="1" w:lastColumn="0" w:noHBand="0" w:noVBand="1"/>
      </w:tblPr>
      <w:tblGrid>
        <w:gridCol w:w="9236"/>
      </w:tblGrid>
      <w:tr w:rsidR="00892835" w:rsidRPr="00E3754A" w14:paraId="3640515C" w14:textId="77777777" w:rsidTr="006F4D7E">
        <w:tc>
          <w:tcPr>
            <w:tcW w:w="5000" w:type="pct"/>
          </w:tcPr>
          <w:p w14:paraId="1CE5C842" w14:textId="6C67DED1" w:rsidR="00892835" w:rsidRPr="00E3754A" w:rsidRDefault="00892835" w:rsidP="00892835">
            <w:pPr>
              <w:pStyle w:val="Heading1"/>
              <w:rPr>
                <w:lang w:val="en-AU"/>
              </w:rPr>
            </w:pPr>
            <w:bookmarkStart w:id="93" w:name="_Toc337970309"/>
            <w:bookmarkStart w:id="94" w:name="_Toc339036875"/>
            <w:r w:rsidRPr="00E3754A">
              <w:rPr>
                <w:lang w:val="en-AU"/>
              </w:rPr>
              <w:t>Appendix B</w:t>
            </w:r>
            <w:bookmarkEnd w:id="93"/>
            <w:bookmarkEnd w:id="94"/>
          </w:p>
        </w:tc>
      </w:tr>
    </w:tbl>
    <w:p w14:paraId="2A66B62E" w14:textId="76F3F3E9" w:rsidR="00C26990" w:rsidRPr="00E3754A" w:rsidRDefault="00C26990" w:rsidP="00C26990">
      <w:pPr>
        <w:pStyle w:val="NoSpacing"/>
        <w:rPr>
          <w:lang w:val="en-AU"/>
        </w:rPr>
      </w:pPr>
      <w:r w:rsidRPr="00E3754A">
        <w:rPr>
          <w:lang w:val="en-AU"/>
        </w:rPr>
        <w:t>Because this literature review was intended to provide an evidence base for policy decisions, it was conducted using an integrative review methodology (Whittemore &amp; Knafl, 2005). Integrative reviews permit the inclusion of a wide range of studies, including academic articles that detail quantitative and qualitative studies, and ‘grey’ literature such as reports, policy, and opinion pieces.</w:t>
      </w:r>
      <w:r w:rsidR="006F7CE1" w:rsidRPr="00E3754A">
        <w:rPr>
          <w:lang w:val="en-AU"/>
        </w:rPr>
        <w:t xml:space="preserve"> </w:t>
      </w:r>
      <w:r w:rsidRPr="00E3754A">
        <w:rPr>
          <w:lang w:val="en-AU"/>
        </w:rPr>
        <w:t>It was considered that such an approach would provide richer and more diverse evidence with potential to be utilised by those considering Article 12 of the United Nations Convention on the Rights of Persons with Disabilities and its implementation. In particular, an integrative review methodology was seen as generating appropriate evidence at different levels to inform research, practice and policy, and was therefore preferred as the means of addressing the broad range of questions upon which the Office of Disability Issues (ODI) posed (Refer Appendix A).</w:t>
      </w:r>
    </w:p>
    <w:p w14:paraId="4167CFD0" w14:textId="6505C65E" w:rsidR="00C26990" w:rsidRPr="00E3754A" w:rsidRDefault="00C26990" w:rsidP="00C26990">
      <w:pPr>
        <w:pStyle w:val="NoSpacing"/>
        <w:rPr>
          <w:lang w:val="en-AU"/>
        </w:rPr>
      </w:pPr>
      <w:r w:rsidRPr="00E3754A">
        <w:rPr>
          <w:lang w:val="en-AU"/>
        </w:rPr>
        <w:t>An integrative review methodology combines data from both theoretical and empirical literature, and permits the development and synthesis of theory in the service of practical solutions.</w:t>
      </w:r>
      <w:r w:rsidR="006F7CE1" w:rsidRPr="00E3754A">
        <w:rPr>
          <w:lang w:val="en-AU"/>
        </w:rPr>
        <w:t xml:space="preserve"> </w:t>
      </w:r>
      <w:r w:rsidRPr="00E3754A">
        <w:rPr>
          <w:lang w:val="en-AU"/>
        </w:rPr>
        <w:t>Such a synthesis offers several advantages over alternative review methodologies, such as meta-analyses (which require data to be of similar nature) or systems analysis (which risks excluding particular qualitative data and, therefore, limits the possibilities for considering the views of key stakeholders, particularly in the disability sector). An integrative review methodology is appropriate for the analysis of complex concepts or issues, allowing all possible interests and considerations to be included.</w:t>
      </w:r>
      <w:r w:rsidR="006F7CE1" w:rsidRPr="00E3754A">
        <w:rPr>
          <w:lang w:val="en-AU"/>
        </w:rPr>
        <w:t xml:space="preserve"> </w:t>
      </w:r>
      <w:r w:rsidRPr="00E3754A">
        <w:rPr>
          <w:lang w:val="en-AU"/>
        </w:rPr>
        <w:t xml:space="preserve">This was considered critical in the present context, given the imbrication of legislation, case law, interests of the disabilities sector and its stakeholders, phenomenologies of decision-making, and the international context of legislative and conventional compliance. </w:t>
      </w:r>
    </w:p>
    <w:p w14:paraId="469C34E1" w14:textId="2997F54B" w:rsidR="00C26990" w:rsidRPr="00E3754A" w:rsidRDefault="00C26990" w:rsidP="00C26990">
      <w:pPr>
        <w:pStyle w:val="NoSpacing"/>
        <w:rPr>
          <w:lang w:val="en-AU"/>
        </w:rPr>
      </w:pPr>
      <w:r w:rsidRPr="00E3754A">
        <w:rPr>
          <w:lang w:val="en-AU"/>
        </w:rPr>
        <w:t>Typically there are six stages to an integrative review.</w:t>
      </w:r>
      <w:r w:rsidR="006F7CE1" w:rsidRPr="00E3754A">
        <w:rPr>
          <w:lang w:val="en-AU"/>
        </w:rPr>
        <w:t xml:space="preserve"> </w:t>
      </w:r>
      <w:r w:rsidRPr="00E3754A">
        <w:rPr>
          <w:lang w:val="en-AU"/>
        </w:rPr>
        <w:t xml:space="preserve">These include the preparation of the guiding question(s), preparing and conducting the literature search; collecting data; undergoing critical analysis of the included studies/sources; a discursive consideration of the results and the appropriate presentation of the review sufficient to furnish evidence for policy-making and legislative review and/or reform. These steps were applied in the context of developing the current review. </w:t>
      </w:r>
    </w:p>
    <w:p w14:paraId="71A57F2A" w14:textId="77777777" w:rsidR="00C26990" w:rsidRPr="00E3754A" w:rsidRDefault="00C26990" w:rsidP="00C26990">
      <w:pPr>
        <w:pStyle w:val="Heading4"/>
        <w:rPr>
          <w:lang w:val="en-AU"/>
        </w:rPr>
      </w:pPr>
      <w:r w:rsidRPr="00E3754A">
        <w:rPr>
          <w:lang w:val="en-AU"/>
        </w:rPr>
        <w:t>Definitions of disability</w:t>
      </w:r>
    </w:p>
    <w:p w14:paraId="750C6FE1" w14:textId="45A9FC5D" w:rsidR="00C26990" w:rsidRPr="00E3754A" w:rsidRDefault="00C26990" w:rsidP="00C26990">
      <w:pPr>
        <w:pStyle w:val="NoSpacing"/>
        <w:rPr>
          <w:lang w:val="en-AU"/>
        </w:rPr>
      </w:pPr>
      <w:r w:rsidRPr="00E3754A">
        <w:rPr>
          <w:lang w:val="en-AU"/>
        </w:rPr>
        <w:t>The review considered the potential impacts of Article 12, and more particularly the implementation of supported decision-making on disabled people of all ages, impairment types, genders, ethnicities and geographic locations.</w:t>
      </w:r>
      <w:r w:rsidR="006F7CE1" w:rsidRPr="00E3754A">
        <w:rPr>
          <w:lang w:val="en-AU"/>
        </w:rPr>
        <w:t xml:space="preserve"> </w:t>
      </w:r>
      <w:r w:rsidRPr="00E3754A">
        <w:rPr>
          <w:lang w:val="en-AU"/>
        </w:rPr>
        <w:t>Those particularly affected by Article 12(2) were taken to be people with experience of dementia; people with learning/intellectual disabilities; people experiencing mental distress; and other people with diverse or impaired cognitive functioning and/or communication. The review considered how impacts differ for people in these groups, but did not seek to offer a comparative review insofar as that sets a hierarchy of experience that is not particularly helpful in this context.</w:t>
      </w:r>
    </w:p>
    <w:p w14:paraId="792D143B" w14:textId="77777777" w:rsidR="00C26990" w:rsidRPr="00E3754A" w:rsidRDefault="00C26990" w:rsidP="00C26990">
      <w:pPr>
        <w:pStyle w:val="Heading4"/>
        <w:rPr>
          <w:lang w:val="en-AU"/>
        </w:rPr>
      </w:pPr>
      <w:r w:rsidRPr="00E3754A">
        <w:rPr>
          <w:lang w:val="en-AU"/>
        </w:rPr>
        <w:t>Limitations of scope</w:t>
      </w:r>
    </w:p>
    <w:p w14:paraId="516E0143" w14:textId="25434584" w:rsidR="00C26990" w:rsidRPr="00E3754A" w:rsidRDefault="00C26990" w:rsidP="00C26990">
      <w:pPr>
        <w:pStyle w:val="NoSpacing"/>
        <w:rPr>
          <w:lang w:val="en-AU"/>
        </w:rPr>
      </w:pPr>
      <w:r w:rsidRPr="00E3754A">
        <w:rPr>
          <w:lang w:val="en-AU"/>
        </w:rPr>
        <w:t>In keeping with the requirements of the ODI, the literature review was broadly limited to the period 2010-2016.</w:t>
      </w:r>
      <w:r w:rsidR="006F7CE1" w:rsidRPr="00E3754A">
        <w:rPr>
          <w:lang w:val="en-AU"/>
        </w:rPr>
        <w:t xml:space="preserve"> </w:t>
      </w:r>
      <w:r w:rsidRPr="00E3754A">
        <w:rPr>
          <w:lang w:val="en-AU"/>
        </w:rPr>
        <w:t>However, because much of the salient literature on legal capacity, decision-making and, in particular, the New Zealand legislative framework for those issues, pre-date 2010, key sources outside the specified timeframe were included on occasion.</w:t>
      </w:r>
    </w:p>
    <w:p w14:paraId="04333B7D" w14:textId="77777777" w:rsidR="00C26990" w:rsidRPr="00E3754A" w:rsidRDefault="00C26990" w:rsidP="00C26990">
      <w:pPr>
        <w:pStyle w:val="Heading4"/>
        <w:rPr>
          <w:lang w:val="en-AU"/>
        </w:rPr>
      </w:pPr>
      <w:r w:rsidRPr="00E3754A">
        <w:rPr>
          <w:lang w:val="en-AU"/>
        </w:rPr>
        <w:t>Sources</w:t>
      </w:r>
    </w:p>
    <w:p w14:paraId="3C7DDD36" w14:textId="77777777" w:rsidR="00C26990" w:rsidRPr="00E3754A" w:rsidRDefault="00C26990" w:rsidP="00C26990">
      <w:pPr>
        <w:pStyle w:val="NoSpacing"/>
        <w:rPr>
          <w:lang w:val="en-AU"/>
        </w:rPr>
      </w:pPr>
      <w:r w:rsidRPr="00E3754A">
        <w:rPr>
          <w:lang w:val="en-AU"/>
        </w:rPr>
        <w:t xml:space="preserve">The primary source for this review was the University of Otago’s Library Ketu database. Ketu is an aggregate database, which facilitates access to a wide range of specific databases. In addition, Google Scholar was individually searched as a way of checking all relevant references were identified. The United Nations Convention on the Rights of Persons with Disabilities online database was also extensively utilised in this review, particularly to gain insight into Article 12, and to access states parties reports and concluding comments. Approximately 25 different search terms were utilised to identify relevant references. These terms were: </w:t>
      </w:r>
    </w:p>
    <w:p w14:paraId="439C404D" w14:textId="77777777" w:rsidR="00C26990" w:rsidRPr="00E3754A" w:rsidRDefault="00C26990" w:rsidP="00C26990">
      <w:pPr>
        <w:pStyle w:val="NoSpacing"/>
        <w:numPr>
          <w:ilvl w:val="0"/>
          <w:numId w:val="26"/>
        </w:numPr>
        <w:rPr>
          <w:lang w:val="en-AU"/>
        </w:rPr>
      </w:pPr>
      <w:r w:rsidRPr="00E3754A">
        <w:rPr>
          <w:lang w:val="en-AU"/>
        </w:rPr>
        <w:t>United Nations Convention on the Rights of Persons with Disabilities</w:t>
      </w:r>
    </w:p>
    <w:p w14:paraId="5C5BA216" w14:textId="77777777" w:rsidR="00C26990" w:rsidRPr="00E3754A" w:rsidRDefault="00C26990" w:rsidP="00C26990">
      <w:pPr>
        <w:pStyle w:val="NoSpacing"/>
        <w:numPr>
          <w:ilvl w:val="0"/>
          <w:numId w:val="26"/>
        </w:numPr>
        <w:rPr>
          <w:lang w:val="en-AU"/>
        </w:rPr>
      </w:pPr>
      <w:r w:rsidRPr="00E3754A">
        <w:rPr>
          <w:lang w:val="en-AU"/>
        </w:rPr>
        <w:t>Convention on the Rights of Persons with Disabilities</w:t>
      </w:r>
    </w:p>
    <w:p w14:paraId="42661736" w14:textId="77777777" w:rsidR="00C26990" w:rsidRPr="00E3754A" w:rsidRDefault="00C26990" w:rsidP="00C26990">
      <w:pPr>
        <w:pStyle w:val="NoSpacing"/>
        <w:numPr>
          <w:ilvl w:val="0"/>
          <w:numId w:val="26"/>
        </w:numPr>
        <w:rPr>
          <w:lang w:val="en-AU"/>
        </w:rPr>
      </w:pPr>
      <w:r w:rsidRPr="00E3754A">
        <w:rPr>
          <w:lang w:val="en-AU"/>
        </w:rPr>
        <w:t>Convention on the Rights of Persons with Disabilities Article 12</w:t>
      </w:r>
    </w:p>
    <w:p w14:paraId="619537B3" w14:textId="77777777" w:rsidR="00C26990" w:rsidRPr="00E3754A" w:rsidRDefault="00C26990" w:rsidP="00C26990">
      <w:pPr>
        <w:pStyle w:val="NoSpacing"/>
        <w:numPr>
          <w:ilvl w:val="0"/>
          <w:numId w:val="26"/>
        </w:numPr>
        <w:rPr>
          <w:lang w:val="en-AU"/>
        </w:rPr>
      </w:pPr>
      <w:r w:rsidRPr="00E3754A">
        <w:rPr>
          <w:lang w:val="en-AU"/>
        </w:rPr>
        <w:t>General Comment Article 12</w:t>
      </w:r>
    </w:p>
    <w:p w14:paraId="3486BA00" w14:textId="77777777" w:rsidR="00C26990" w:rsidRPr="00E3754A" w:rsidRDefault="00C26990" w:rsidP="00C26990">
      <w:pPr>
        <w:pStyle w:val="NoSpacing"/>
        <w:numPr>
          <w:ilvl w:val="0"/>
          <w:numId w:val="26"/>
        </w:numPr>
        <w:rPr>
          <w:lang w:val="en-AU"/>
        </w:rPr>
      </w:pPr>
      <w:r w:rsidRPr="00E3754A">
        <w:rPr>
          <w:lang w:val="en-AU"/>
        </w:rPr>
        <w:t>GC Article 12</w:t>
      </w:r>
    </w:p>
    <w:p w14:paraId="2F9A6206" w14:textId="5F91824B" w:rsidR="00C26990" w:rsidRPr="00E3754A" w:rsidRDefault="00392157" w:rsidP="00C26990">
      <w:pPr>
        <w:pStyle w:val="NoSpacing"/>
        <w:numPr>
          <w:ilvl w:val="0"/>
          <w:numId w:val="26"/>
        </w:numPr>
        <w:rPr>
          <w:lang w:val="en-AU"/>
        </w:rPr>
      </w:pPr>
      <w:r w:rsidRPr="00E3754A">
        <w:rPr>
          <w:lang w:val="en-AU"/>
        </w:rPr>
        <w:t>Convention</w:t>
      </w:r>
    </w:p>
    <w:p w14:paraId="50AF59B8" w14:textId="7E088168" w:rsidR="00C26990" w:rsidRPr="00E3754A" w:rsidRDefault="00C26990" w:rsidP="00C26990">
      <w:pPr>
        <w:pStyle w:val="NoSpacing"/>
        <w:numPr>
          <w:ilvl w:val="0"/>
          <w:numId w:val="26"/>
        </w:numPr>
        <w:rPr>
          <w:lang w:val="en-AU"/>
        </w:rPr>
      </w:pPr>
      <w:r w:rsidRPr="00E3754A">
        <w:rPr>
          <w:lang w:val="en-AU"/>
        </w:rPr>
        <w:t xml:space="preserve">Article 12 </w:t>
      </w:r>
      <w:r w:rsidR="00392157" w:rsidRPr="00E3754A">
        <w:rPr>
          <w:lang w:val="en-AU"/>
        </w:rPr>
        <w:t>Convention</w:t>
      </w:r>
    </w:p>
    <w:p w14:paraId="7211C401" w14:textId="77777777" w:rsidR="00C26990" w:rsidRPr="00E3754A" w:rsidRDefault="00C26990" w:rsidP="00C26990">
      <w:pPr>
        <w:pStyle w:val="NoSpacing"/>
        <w:numPr>
          <w:ilvl w:val="0"/>
          <w:numId w:val="26"/>
        </w:numPr>
        <w:rPr>
          <w:lang w:val="en-AU"/>
        </w:rPr>
      </w:pPr>
      <w:r w:rsidRPr="00E3754A">
        <w:rPr>
          <w:lang w:val="en-AU"/>
        </w:rPr>
        <w:t>Legal capacity</w:t>
      </w:r>
    </w:p>
    <w:p w14:paraId="2E99443D" w14:textId="77777777" w:rsidR="00C26990" w:rsidRPr="00E3754A" w:rsidRDefault="00C26990" w:rsidP="00C26990">
      <w:pPr>
        <w:pStyle w:val="NoSpacing"/>
        <w:numPr>
          <w:ilvl w:val="0"/>
          <w:numId w:val="26"/>
        </w:numPr>
        <w:rPr>
          <w:lang w:val="en-AU"/>
        </w:rPr>
      </w:pPr>
      <w:r w:rsidRPr="00E3754A">
        <w:rPr>
          <w:lang w:val="en-AU"/>
        </w:rPr>
        <w:t>Mental capacity</w:t>
      </w:r>
    </w:p>
    <w:p w14:paraId="48DBA4F6" w14:textId="77777777" w:rsidR="00C26990" w:rsidRPr="00E3754A" w:rsidRDefault="00C26990" w:rsidP="00C26990">
      <w:pPr>
        <w:pStyle w:val="NoSpacing"/>
        <w:numPr>
          <w:ilvl w:val="0"/>
          <w:numId w:val="26"/>
        </w:numPr>
        <w:rPr>
          <w:lang w:val="en-AU"/>
        </w:rPr>
      </w:pPr>
      <w:r w:rsidRPr="00E3754A">
        <w:rPr>
          <w:lang w:val="en-AU"/>
        </w:rPr>
        <w:t>Decision-making capacity</w:t>
      </w:r>
    </w:p>
    <w:p w14:paraId="2D54522D" w14:textId="77777777" w:rsidR="00C26990" w:rsidRPr="00E3754A" w:rsidRDefault="00C26990" w:rsidP="00C26990">
      <w:pPr>
        <w:pStyle w:val="NoSpacing"/>
        <w:numPr>
          <w:ilvl w:val="0"/>
          <w:numId w:val="26"/>
        </w:numPr>
        <w:rPr>
          <w:lang w:val="en-AU"/>
        </w:rPr>
      </w:pPr>
      <w:r w:rsidRPr="00E3754A">
        <w:rPr>
          <w:lang w:val="en-AU"/>
        </w:rPr>
        <w:t>Decisional capacity</w:t>
      </w:r>
    </w:p>
    <w:p w14:paraId="16E155E7" w14:textId="77777777" w:rsidR="00C26990" w:rsidRPr="00E3754A" w:rsidRDefault="00C26990" w:rsidP="00C26990">
      <w:pPr>
        <w:pStyle w:val="NoSpacing"/>
        <w:numPr>
          <w:ilvl w:val="0"/>
          <w:numId w:val="26"/>
        </w:numPr>
        <w:rPr>
          <w:lang w:val="en-AU"/>
        </w:rPr>
      </w:pPr>
      <w:r w:rsidRPr="00E3754A">
        <w:rPr>
          <w:lang w:val="en-AU"/>
        </w:rPr>
        <w:t>Right to legal capacity</w:t>
      </w:r>
    </w:p>
    <w:p w14:paraId="5DA93251" w14:textId="77777777" w:rsidR="00C26990" w:rsidRPr="00E3754A" w:rsidRDefault="00C26990" w:rsidP="00C26990">
      <w:pPr>
        <w:pStyle w:val="NoSpacing"/>
        <w:numPr>
          <w:ilvl w:val="0"/>
          <w:numId w:val="26"/>
        </w:numPr>
        <w:rPr>
          <w:lang w:val="en-AU"/>
        </w:rPr>
      </w:pPr>
      <w:r w:rsidRPr="00E3754A">
        <w:rPr>
          <w:lang w:val="en-AU"/>
        </w:rPr>
        <w:t>Supported decision making</w:t>
      </w:r>
    </w:p>
    <w:p w14:paraId="3EFC3E7E" w14:textId="77777777" w:rsidR="00C26990" w:rsidRPr="00E3754A" w:rsidRDefault="00C26990" w:rsidP="00C26990">
      <w:pPr>
        <w:pStyle w:val="NoSpacing"/>
        <w:numPr>
          <w:ilvl w:val="0"/>
          <w:numId w:val="26"/>
        </w:numPr>
        <w:rPr>
          <w:lang w:val="en-AU"/>
        </w:rPr>
      </w:pPr>
      <w:r w:rsidRPr="00E3754A">
        <w:rPr>
          <w:lang w:val="en-AU"/>
        </w:rPr>
        <w:t>Decision making medical treatment</w:t>
      </w:r>
    </w:p>
    <w:p w14:paraId="6DF64548" w14:textId="77777777" w:rsidR="00C26990" w:rsidRPr="00E3754A" w:rsidRDefault="00C26990" w:rsidP="00C26990">
      <w:pPr>
        <w:pStyle w:val="NoSpacing"/>
        <w:numPr>
          <w:ilvl w:val="0"/>
          <w:numId w:val="26"/>
        </w:numPr>
        <w:rPr>
          <w:lang w:val="en-AU"/>
        </w:rPr>
      </w:pPr>
      <w:r w:rsidRPr="00E3754A">
        <w:rPr>
          <w:lang w:val="en-AU"/>
        </w:rPr>
        <w:t>Medical refusal</w:t>
      </w:r>
    </w:p>
    <w:p w14:paraId="1BCCCF5F" w14:textId="77777777" w:rsidR="00C26990" w:rsidRPr="00E3754A" w:rsidRDefault="00C26990" w:rsidP="00C26990">
      <w:pPr>
        <w:pStyle w:val="NoSpacing"/>
        <w:numPr>
          <w:ilvl w:val="0"/>
          <w:numId w:val="26"/>
        </w:numPr>
        <w:rPr>
          <w:lang w:val="en-AU"/>
        </w:rPr>
      </w:pPr>
      <w:r w:rsidRPr="00E3754A">
        <w:rPr>
          <w:lang w:val="en-AU"/>
        </w:rPr>
        <w:t>Treatment refusal</w:t>
      </w:r>
    </w:p>
    <w:p w14:paraId="1B3C3EDD" w14:textId="77777777" w:rsidR="00C26990" w:rsidRPr="00E3754A" w:rsidRDefault="00C26990" w:rsidP="00C26990">
      <w:pPr>
        <w:pStyle w:val="NoSpacing"/>
        <w:numPr>
          <w:ilvl w:val="0"/>
          <w:numId w:val="26"/>
        </w:numPr>
        <w:rPr>
          <w:lang w:val="en-AU"/>
        </w:rPr>
      </w:pPr>
      <w:r w:rsidRPr="00E3754A">
        <w:rPr>
          <w:lang w:val="en-AU"/>
        </w:rPr>
        <w:t>Legal capacity disabilities</w:t>
      </w:r>
    </w:p>
    <w:p w14:paraId="71446578" w14:textId="77777777" w:rsidR="00C26990" w:rsidRPr="00E3754A" w:rsidRDefault="00C26990" w:rsidP="00C26990">
      <w:pPr>
        <w:pStyle w:val="NoSpacing"/>
        <w:numPr>
          <w:ilvl w:val="0"/>
          <w:numId w:val="26"/>
        </w:numPr>
        <w:rPr>
          <w:lang w:val="en-AU"/>
        </w:rPr>
      </w:pPr>
      <w:r w:rsidRPr="00E3754A">
        <w:rPr>
          <w:lang w:val="en-AU"/>
        </w:rPr>
        <w:t>Supported decision making</w:t>
      </w:r>
    </w:p>
    <w:p w14:paraId="67F5ADD8" w14:textId="77777777" w:rsidR="00C26990" w:rsidRPr="00E3754A" w:rsidRDefault="00C26990" w:rsidP="00C26990">
      <w:pPr>
        <w:pStyle w:val="NoSpacing"/>
        <w:numPr>
          <w:ilvl w:val="0"/>
          <w:numId w:val="26"/>
        </w:numPr>
        <w:rPr>
          <w:lang w:val="en-AU"/>
        </w:rPr>
      </w:pPr>
      <w:r w:rsidRPr="00E3754A">
        <w:rPr>
          <w:lang w:val="en-AU"/>
        </w:rPr>
        <w:t>Supported decisions</w:t>
      </w:r>
    </w:p>
    <w:p w14:paraId="571B1E0B" w14:textId="77777777" w:rsidR="00C26990" w:rsidRPr="00E3754A" w:rsidRDefault="00C26990" w:rsidP="00C26990">
      <w:pPr>
        <w:pStyle w:val="NoSpacing"/>
        <w:numPr>
          <w:ilvl w:val="0"/>
          <w:numId w:val="26"/>
        </w:numPr>
        <w:rPr>
          <w:lang w:val="en-AU"/>
        </w:rPr>
      </w:pPr>
      <w:r w:rsidRPr="00E3754A">
        <w:rPr>
          <w:lang w:val="en-AU"/>
        </w:rPr>
        <w:t>Capacity supported decisions</w:t>
      </w:r>
    </w:p>
    <w:p w14:paraId="465C7F63" w14:textId="77777777" w:rsidR="00C26990" w:rsidRPr="00E3754A" w:rsidRDefault="00C26990" w:rsidP="00C26990">
      <w:pPr>
        <w:pStyle w:val="NoSpacing"/>
        <w:numPr>
          <w:ilvl w:val="0"/>
          <w:numId w:val="26"/>
        </w:numPr>
        <w:rPr>
          <w:lang w:val="en-AU"/>
        </w:rPr>
      </w:pPr>
      <w:r w:rsidRPr="00E3754A">
        <w:rPr>
          <w:lang w:val="en-AU"/>
        </w:rPr>
        <w:t>Substitute decision making</w:t>
      </w:r>
    </w:p>
    <w:p w14:paraId="658FC850" w14:textId="77777777" w:rsidR="00C26990" w:rsidRPr="00E3754A" w:rsidRDefault="00C26990" w:rsidP="00C26990">
      <w:pPr>
        <w:pStyle w:val="NoSpacing"/>
        <w:numPr>
          <w:ilvl w:val="0"/>
          <w:numId w:val="26"/>
        </w:numPr>
        <w:rPr>
          <w:lang w:val="en-AU"/>
        </w:rPr>
      </w:pPr>
      <w:r w:rsidRPr="00E3754A">
        <w:rPr>
          <w:lang w:val="en-AU"/>
        </w:rPr>
        <w:t>Substitute decisions</w:t>
      </w:r>
    </w:p>
    <w:p w14:paraId="58048C9D" w14:textId="77777777" w:rsidR="00C26990" w:rsidRPr="00E3754A" w:rsidRDefault="00C26990" w:rsidP="00C26990">
      <w:pPr>
        <w:pStyle w:val="NoSpacing"/>
        <w:numPr>
          <w:ilvl w:val="0"/>
          <w:numId w:val="26"/>
        </w:numPr>
        <w:rPr>
          <w:lang w:val="en-AU"/>
        </w:rPr>
      </w:pPr>
      <w:r w:rsidRPr="00E3754A">
        <w:rPr>
          <w:lang w:val="en-AU"/>
        </w:rPr>
        <w:t>Compulsory treatment</w:t>
      </w:r>
    </w:p>
    <w:p w14:paraId="41933DEC" w14:textId="77777777" w:rsidR="00C26990" w:rsidRPr="00E3754A" w:rsidRDefault="00C26990" w:rsidP="00C26990">
      <w:pPr>
        <w:pStyle w:val="NoSpacing"/>
        <w:numPr>
          <w:ilvl w:val="0"/>
          <w:numId w:val="26"/>
        </w:numPr>
        <w:rPr>
          <w:lang w:val="en-AU"/>
        </w:rPr>
      </w:pPr>
      <w:r w:rsidRPr="00E3754A">
        <w:rPr>
          <w:lang w:val="en-AU"/>
        </w:rPr>
        <w:t>Compulsory treatment disabilities</w:t>
      </w:r>
    </w:p>
    <w:p w14:paraId="48BB6D3C" w14:textId="77777777" w:rsidR="00C26990" w:rsidRPr="00E3754A" w:rsidRDefault="00C26990" w:rsidP="00C26990">
      <w:pPr>
        <w:pStyle w:val="NoSpacing"/>
        <w:numPr>
          <w:ilvl w:val="0"/>
          <w:numId w:val="26"/>
        </w:numPr>
        <w:rPr>
          <w:lang w:val="en-AU"/>
        </w:rPr>
      </w:pPr>
      <w:r w:rsidRPr="00E3754A">
        <w:rPr>
          <w:lang w:val="en-AU"/>
        </w:rPr>
        <w:t>Compulsory treatment mental health/MHA</w:t>
      </w:r>
    </w:p>
    <w:p w14:paraId="595A8338" w14:textId="20CEA89B" w:rsidR="00C26990" w:rsidRPr="00E3754A" w:rsidRDefault="00C26990" w:rsidP="00C26990">
      <w:pPr>
        <w:pStyle w:val="NoSpacing"/>
        <w:rPr>
          <w:lang w:val="en-AU"/>
        </w:rPr>
      </w:pPr>
      <w:r w:rsidRPr="00E3754A">
        <w:rPr>
          <w:lang w:val="en-AU"/>
        </w:rPr>
        <w:t xml:space="preserve">The application of these search terms resulted in </w:t>
      </w:r>
      <w:r w:rsidR="00F61928" w:rsidRPr="00E3754A">
        <w:rPr>
          <w:lang w:val="en-AU"/>
        </w:rPr>
        <w:t xml:space="preserve">approximately </w:t>
      </w:r>
      <w:r w:rsidRPr="00E3754A">
        <w:rPr>
          <w:lang w:val="en-AU"/>
        </w:rPr>
        <w:t xml:space="preserve">over </w:t>
      </w:r>
      <w:r w:rsidR="00F61928" w:rsidRPr="00E3754A">
        <w:rPr>
          <w:lang w:val="en-AU"/>
        </w:rPr>
        <w:t xml:space="preserve">300 potentially relevant </w:t>
      </w:r>
      <w:r w:rsidRPr="00E3754A">
        <w:rPr>
          <w:lang w:val="en-AU"/>
        </w:rPr>
        <w:t>refe</w:t>
      </w:r>
      <w:r w:rsidR="00F61928" w:rsidRPr="00E3754A">
        <w:rPr>
          <w:lang w:val="en-AU"/>
        </w:rPr>
        <w:t xml:space="preserve">rences being identified. </w:t>
      </w:r>
      <w:r w:rsidR="00947525">
        <w:rPr>
          <w:lang w:val="en-AU"/>
        </w:rPr>
        <w:t>Approximately 130</w:t>
      </w:r>
      <w:r w:rsidR="00F61928" w:rsidRPr="00E3754A">
        <w:rPr>
          <w:lang w:val="en-AU"/>
        </w:rPr>
        <w:t xml:space="preserve"> </w:t>
      </w:r>
      <w:r w:rsidRPr="00E3754A">
        <w:rPr>
          <w:lang w:val="en-AU"/>
        </w:rPr>
        <w:t xml:space="preserve">of these were included in the final report as having particular relevance, however all provided important insights and information that have informed the development of the review. </w:t>
      </w:r>
      <w:r w:rsidR="00F61928" w:rsidRPr="00E3754A">
        <w:rPr>
          <w:lang w:val="en-AU"/>
        </w:rPr>
        <w:t>Some of those that were not used in the body of the review are included as additional resources following the reference section of the report.</w:t>
      </w:r>
    </w:p>
    <w:p w14:paraId="3410575C" w14:textId="77777777" w:rsidR="008F2279" w:rsidRPr="00E3754A" w:rsidRDefault="008F2279" w:rsidP="008F2279">
      <w:pPr>
        <w:pStyle w:val="NoSpacing"/>
        <w:rPr>
          <w:lang w:val="en-AU"/>
        </w:rPr>
      </w:pPr>
    </w:p>
    <w:p w14:paraId="67D68127" w14:textId="0A7DF6A2" w:rsidR="00E725CF" w:rsidRPr="00E3754A" w:rsidRDefault="00E725CF">
      <w:pPr>
        <w:spacing w:line="240" w:lineRule="auto"/>
        <w:jc w:val="left"/>
        <w:rPr>
          <w:lang w:val="en-AU"/>
        </w:rPr>
      </w:pPr>
      <w:r w:rsidRPr="00E3754A">
        <w:rPr>
          <w:lang w:val="en-AU"/>
        </w:rPr>
        <w:br w:type="page"/>
      </w:r>
    </w:p>
    <w:p w14:paraId="1D6B52A3" w14:textId="6A774537" w:rsidR="001D2B09" w:rsidRPr="00E3754A" w:rsidRDefault="00DB7240" w:rsidP="00A937A5">
      <w:pPr>
        <w:spacing w:line="240" w:lineRule="auto"/>
        <w:jc w:val="left"/>
        <w:rPr>
          <w:lang w:val="en-AU"/>
        </w:rPr>
      </w:pPr>
      <w:r w:rsidRPr="00E3754A">
        <w:rPr>
          <w:noProof/>
          <w:lang w:eastAsia="en-NZ"/>
        </w:rPr>
        <w:drawing>
          <wp:anchor distT="0" distB="0" distL="114300" distR="114300" simplePos="0" relativeHeight="251659264" behindDoc="0" locked="0" layoutInCell="1" allowOverlap="1" wp14:anchorId="7CA7406B" wp14:editId="048EBD07">
            <wp:simplePos x="0" y="0"/>
            <wp:positionH relativeFrom="margin">
              <wp:align>center</wp:align>
            </wp:positionH>
            <wp:positionV relativeFrom="margin">
              <wp:align>center</wp:align>
            </wp:positionV>
            <wp:extent cx="7448550" cy="10538460"/>
            <wp:effectExtent l="0" t="0" r="0" b="2540"/>
            <wp:wrapSquare wrapText="bothSides"/>
            <wp:docPr id="2" name="Picture 2" descr="Macintosh HD:Users:georgina:Downloads:ODI Literature Review Back Cover-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orgina:Downloads:ODI Literature Review Back Cover-page-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49275" cy="1053993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D2B09" w:rsidRPr="00E3754A" w:rsidSect="00A02966">
      <w:footerReference w:type="even" r:id="rId13"/>
      <w:footerReference w:type="default" r:id="rId14"/>
      <w:pgSz w:w="11900" w:h="16840"/>
      <w:pgMar w:top="1440" w:right="1440" w:bottom="1440" w:left="1440" w:header="706" w:footer="706"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8D89E5" w15:done="0"/>
  <w15:commentEx w15:paraId="544B60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6BF258" w14:textId="77777777" w:rsidR="00621CE8" w:rsidRDefault="00621CE8" w:rsidP="00CE5890">
      <w:pPr>
        <w:spacing w:line="240" w:lineRule="auto"/>
      </w:pPr>
      <w:r>
        <w:separator/>
      </w:r>
    </w:p>
    <w:p w14:paraId="483CC0B5" w14:textId="77777777" w:rsidR="00621CE8" w:rsidRDefault="00621CE8"/>
    <w:p w14:paraId="5DB9B612" w14:textId="77777777" w:rsidR="00621CE8" w:rsidRDefault="00621CE8"/>
  </w:endnote>
  <w:endnote w:type="continuationSeparator" w:id="0">
    <w:p w14:paraId="3DDED892" w14:textId="77777777" w:rsidR="00621CE8" w:rsidRDefault="00621CE8" w:rsidP="00CE5890">
      <w:pPr>
        <w:spacing w:line="240" w:lineRule="auto"/>
      </w:pPr>
      <w:r>
        <w:continuationSeparator/>
      </w:r>
    </w:p>
    <w:p w14:paraId="29272B50" w14:textId="77777777" w:rsidR="00621CE8" w:rsidRDefault="00621CE8"/>
    <w:p w14:paraId="5EB56078" w14:textId="77777777" w:rsidR="00621CE8" w:rsidRDefault="00621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PMincho">
    <w:panose1 w:val="02020600040205080304"/>
    <w:charset w:val="80"/>
    <w:family w:val="roma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2B731" w14:textId="77777777" w:rsidR="00621CE8" w:rsidRDefault="00621CE8" w:rsidP="006E07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FAC703" w14:textId="77777777" w:rsidR="00621CE8" w:rsidRDefault="00621C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4BA707" w14:textId="77777777" w:rsidR="00621CE8" w:rsidRPr="00F318C6" w:rsidRDefault="00621CE8" w:rsidP="00F318C6">
    <w:pPr>
      <w:pStyle w:val="Footer"/>
      <w:framePr w:wrap="around" w:vAnchor="text" w:hAnchor="page" w:x="5941" w:y="-29"/>
      <w:rPr>
        <w:rStyle w:val="PageNumber"/>
        <w:color w:val="2B639C"/>
        <w:sz w:val="18"/>
        <w:szCs w:val="18"/>
      </w:rPr>
    </w:pPr>
    <w:r w:rsidRPr="00F318C6">
      <w:rPr>
        <w:rStyle w:val="PageNumber"/>
        <w:color w:val="2B639C"/>
        <w:sz w:val="18"/>
        <w:szCs w:val="18"/>
      </w:rPr>
      <w:fldChar w:fldCharType="begin"/>
    </w:r>
    <w:r w:rsidRPr="00F318C6">
      <w:rPr>
        <w:rStyle w:val="PageNumber"/>
        <w:color w:val="2B639C"/>
        <w:sz w:val="18"/>
        <w:szCs w:val="18"/>
      </w:rPr>
      <w:instrText xml:space="preserve">PAGE  </w:instrText>
    </w:r>
    <w:r w:rsidRPr="00F318C6">
      <w:rPr>
        <w:rStyle w:val="PageNumber"/>
        <w:color w:val="2B639C"/>
        <w:sz w:val="18"/>
        <w:szCs w:val="18"/>
      </w:rPr>
      <w:fldChar w:fldCharType="separate"/>
    </w:r>
    <w:r w:rsidR="00004A4F">
      <w:rPr>
        <w:rStyle w:val="PageNumber"/>
        <w:noProof/>
        <w:color w:val="2B639C"/>
        <w:sz w:val="18"/>
        <w:szCs w:val="18"/>
      </w:rPr>
      <w:t>II</w:t>
    </w:r>
    <w:r w:rsidRPr="00F318C6">
      <w:rPr>
        <w:rStyle w:val="PageNumber"/>
        <w:color w:val="2B639C"/>
        <w:sz w:val="18"/>
        <w:szCs w:val="18"/>
      </w:rPr>
      <w:fldChar w:fldCharType="end"/>
    </w:r>
  </w:p>
  <w:p w14:paraId="4D536C11" w14:textId="77777777" w:rsidR="00621CE8" w:rsidRPr="00CE5890" w:rsidRDefault="00621CE8" w:rsidP="00CE5890">
    <w:pPr>
      <w:pStyle w:val="Footer"/>
      <w:tabs>
        <w:tab w:val="clear" w:pos="4320"/>
        <w:tab w:val="clear" w:pos="8640"/>
        <w:tab w:val="left" w:pos="956"/>
      </w:tabs>
      <w:jc w:val="center"/>
      <w:rPr>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BDE04D" w14:textId="77777777" w:rsidR="00621CE8" w:rsidRDefault="00621CE8" w:rsidP="006E07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A411BA" w14:textId="77777777" w:rsidR="00621CE8" w:rsidRDefault="00621CE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AA057" w14:textId="77777777" w:rsidR="00621CE8" w:rsidRPr="00F318C6" w:rsidRDefault="00621CE8" w:rsidP="00F318C6">
    <w:pPr>
      <w:pStyle w:val="Footer"/>
      <w:framePr w:wrap="around" w:vAnchor="text" w:hAnchor="page" w:x="5941" w:y="-32"/>
      <w:rPr>
        <w:rStyle w:val="PageNumber"/>
        <w:color w:val="2B639C"/>
        <w:sz w:val="18"/>
        <w:szCs w:val="18"/>
      </w:rPr>
    </w:pPr>
    <w:r w:rsidRPr="00F318C6">
      <w:rPr>
        <w:rStyle w:val="PageNumber"/>
        <w:color w:val="2B639C"/>
        <w:sz w:val="18"/>
        <w:szCs w:val="18"/>
      </w:rPr>
      <w:fldChar w:fldCharType="begin"/>
    </w:r>
    <w:r w:rsidRPr="00F318C6">
      <w:rPr>
        <w:rStyle w:val="PageNumber"/>
        <w:color w:val="2B639C"/>
        <w:sz w:val="18"/>
        <w:szCs w:val="18"/>
      </w:rPr>
      <w:instrText xml:space="preserve">PAGE  </w:instrText>
    </w:r>
    <w:r w:rsidRPr="00F318C6">
      <w:rPr>
        <w:rStyle w:val="PageNumber"/>
        <w:color w:val="2B639C"/>
        <w:sz w:val="18"/>
        <w:szCs w:val="18"/>
      </w:rPr>
      <w:fldChar w:fldCharType="separate"/>
    </w:r>
    <w:r w:rsidR="00FE0EA7">
      <w:rPr>
        <w:rStyle w:val="PageNumber"/>
        <w:noProof/>
        <w:color w:val="2B639C"/>
        <w:sz w:val="18"/>
        <w:szCs w:val="18"/>
      </w:rPr>
      <w:t>29</w:t>
    </w:r>
    <w:r w:rsidRPr="00F318C6">
      <w:rPr>
        <w:rStyle w:val="PageNumber"/>
        <w:color w:val="2B639C"/>
        <w:sz w:val="18"/>
        <w:szCs w:val="18"/>
      </w:rPr>
      <w:fldChar w:fldCharType="end"/>
    </w:r>
  </w:p>
  <w:p w14:paraId="7122F68B" w14:textId="5F52AA42" w:rsidR="00621CE8" w:rsidRPr="00CE5890" w:rsidRDefault="00621CE8" w:rsidP="00CE5890">
    <w:pPr>
      <w:pStyle w:val="Footer"/>
      <w:tabs>
        <w:tab w:val="clear" w:pos="4320"/>
        <w:tab w:val="clear" w:pos="8640"/>
        <w:tab w:val="left" w:pos="956"/>
      </w:tabs>
      <w:jc w:val="center"/>
      <w:rPr>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B0D6DD" w14:textId="77777777" w:rsidR="00621CE8" w:rsidRDefault="00621CE8" w:rsidP="00CE5890">
      <w:pPr>
        <w:spacing w:line="240" w:lineRule="auto"/>
      </w:pPr>
      <w:r>
        <w:separator/>
      </w:r>
    </w:p>
    <w:p w14:paraId="412FB2E7" w14:textId="77777777" w:rsidR="00621CE8" w:rsidRDefault="00621CE8"/>
    <w:p w14:paraId="5DEF20DB" w14:textId="77777777" w:rsidR="00621CE8" w:rsidRDefault="00621CE8"/>
  </w:footnote>
  <w:footnote w:type="continuationSeparator" w:id="0">
    <w:p w14:paraId="70F35181" w14:textId="77777777" w:rsidR="00621CE8" w:rsidRDefault="00621CE8" w:rsidP="00CE5890">
      <w:pPr>
        <w:spacing w:line="240" w:lineRule="auto"/>
      </w:pPr>
      <w:r>
        <w:continuationSeparator/>
      </w:r>
    </w:p>
    <w:p w14:paraId="418AB1F5" w14:textId="77777777" w:rsidR="00621CE8" w:rsidRDefault="00621CE8"/>
    <w:p w14:paraId="00D9D3A8" w14:textId="77777777" w:rsidR="00621CE8" w:rsidRDefault="00621CE8"/>
  </w:footnote>
  <w:footnote w:id="1">
    <w:p w14:paraId="2FDAB7B4" w14:textId="0D2C6082" w:rsidR="00621CE8" w:rsidRPr="00760185" w:rsidRDefault="00621CE8">
      <w:pPr>
        <w:pStyle w:val="FootnoteText"/>
        <w:rPr>
          <w:sz w:val="20"/>
          <w:szCs w:val="20"/>
          <w:lang w:val="en-US"/>
        </w:rPr>
      </w:pPr>
      <w:r>
        <w:rPr>
          <w:rStyle w:val="FootnoteReference"/>
        </w:rPr>
        <w:footnoteRef/>
      </w:r>
      <w:r>
        <w:t xml:space="preserve"> </w:t>
      </w:r>
      <w:r>
        <w:rPr>
          <w:sz w:val="20"/>
          <w:szCs w:val="20"/>
        </w:rPr>
        <w:t>New Zealand has also recently acceded to the Optional Protocol to the Convention and it is due to come into force from 4 November 2016 (</w:t>
      </w:r>
      <w:r w:rsidR="00FD710A">
        <w:rPr>
          <w:sz w:val="20"/>
          <w:szCs w:val="20"/>
        </w:rPr>
        <w:t>“United Nations Convention, 2016</w:t>
      </w:r>
      <w:r>
        <w:rPr>
          <w:sz w:val="20"/>
          <w:szCs w:val="20"/>
        </w:rPr>
        <w:t>).</w:t>
      </w:r>
    </w:p>
  </w:footnote>
  <w:footnote w:id="2">
    <w:p w14:paraId="0FE84C0B" w14:textId="011775A3" w:rsidR="00621CE8" w:rsidRPr="00225FF4" w:rsidRDefault="00621CE8">
      <w:pPr>
        <w:pStyle w:val="FootnoteText"/>
        <w:rPr>
          <w:sz w:val="20"/>
          <w:szCs w:val="20"/>
          <w:lang w:val="en-US"/>
        </w:rPr>
      </w:pPr>
      <w:r w:rsidRPr="00225FF4">
        <w:rPr>
          <w:rStyle w:val="FootnoteReference"/>
          <w:sz w:val="20"/>
          <w:szCs w:val="20"/>
        </w:rPr>
        <w:footnoteRef/>
      </w:r>
      <w:r w:rsidRPr="00225FF4">
        <w:rPr>
          <w:sz w:val="20"/>
          <w:szCs w:val="20"/>
        </w:rPr>
        <w:t xml:space="preserve"> </w:t>
      </w:r>
      <w:r w:rsidRPr="00225FF4">
        <w:rPr>
          <w:sz w:val="20"/>
          <w:szCs w:val="20"/>
          <w:lang w:val="en-US"/>
        </w:rPr>
        <w:t xml:space="preserve">WNUSP </w:t>
      </w:r>
      <w:r>
        <w:rPr>
          <w:sz w:val="20"/>
          <w:szCs w:val="20"/>
          <w:lang w:val="en-US"/>
        </w:rPr>
        <w:t>(World Network of Users and Survivors of Psychiatry) is an organisation that had a significant role in the crafting of the Convention and has published a manual to guide states parties on the obligations and implementation of the Convention (WNUSP, 2008).</w:t>
      </w:r>
    </w:p>
  </w:footnote>
  <w:footnote w:id="3">
    <w:p w14:paraId="318BB5C8" w14:textId="74D0FDE4" w:rsidR="00621CE8" w:rsidRPr="005E78CA" w:rsidRDefault="00621CE8" w:rsidP="002231F8">
      <w:pPr>
        <w:rPr>
          <w:szCs w:val="20"/>
          <w:lang w:val="en-GB"/>
        </w:rPr>
      </w:pPr>
      <w:r>
        <w:rPr>
          <w:rStyle w:val="FootnoteReference"/>
        </w:rPr>
        <w:footnoteRef/>
      </w:r>
      <w:r>
        <w:t xml:space="preserve"> </w:t>
      </w:r>
      <w:r>
        <w:rPr>
          <w:lang w:val="en-US"/>
        </w:rPr>
        <w:t>Question 4 asks, “</w:t>
      </w:r>
      <w:r w:rsidRPr="002231F8">
        <w:rPr>
          <w:lang w:val="en-GB"/>
        </w:rPr>
        <w:t>Have there been any changes in the treatment, by society, of disabled people exercising their legal capacity?</w:t>
      </w:r>
      <w:r>
        <w:rPr>
          <w:lang w:val="en-GB"/>
        </w:rPr>
        <w:t>”</w:t>
      </w:r>
      <w:r>
        <w:rPr>
          <w:lang w:val="en-US"/>
        </w:rPr>
        <w:t xml:space="preserve">. The literature clearly highlights the paradigm shift created by the </w:t>
      </w:r>
      <w:r w:rsidRPr="001C6138">
        <w:rPr>
          <w:szCs w:val="20"/>
          <w:lang w:val="en-US"/>
        </w:rPr>
        <w:t xml:space="preserve">Convention at this stage, but there is little empirical evidence yet that identifies explicitly changes in treatment of disabled people by society. </w:t>
      </w:r>
    </w:p>
  </w:footnote>
  <w:footnote w:id="4">
    <w:p w14:paraId="5C6A6125" w14:textId="4A9B7D39" w:rsidR="00621CE8" w:rsidRPr="00225FF4" w:rsidRDefault="00621CE8">
      <w:pPr>
        <w:pStyle w:val="FootnoteText"/>
        <w:rPr>
          <w:sz w:val="20"/>
          <w:szCs w:val="20"/>
          <w:lang w:val="en-US"/>
        </w:rPr>
      </w:pPr>
      <w:r w:rsidRPr="00225FF4">
        <w:rPr>
          <w:rStyle w:val="FootnoteReference"/>
          <w:sz w:val="20"/>
          <w:szCs w:val="20"/>
        </w:rPr>
        <w:footnoteRef/>
      </w:r>
      <w:r w:rsidRPr="00225FF4">
        <w:rPr>
          <w:sz w:val="20"/>
          <w:szCs w:val="20"/>
        </w:rPr>
        <w:t xml:space="preserve"> </w:t>
      </w:r>
      <w:r w:rsidRPr="00225FF4">
        <w:rPr>
          <w:sz w:val="20"/>
          <w:szCs w:val="20"/>
          <w:lang w:val="en-US"/>
        </w:rPr>
        <w:t xml:space="preserve">Douglass </w:t>
      </w:r>
      <w:r>
        <w:rPr>
          <w:sz w:val="20"/>
          <w:szCs w:val="20"/>
          <w:lang w:val="en-US"/>
        </w:rPr>
        <w:t>(2016) has recently published on mental capacity as it pertains to the New Zealand context.</w:t>
      </w:r>
    </w:p>
  </w:footnote>
  <w:footnote w:id="5">
    <w:p w14:paraId="72D408A3" w14:textId="23A79887" w:rsidR="00621CE8" w:rsidRPr="00B53CC1" w:rsidRDefault="00621CE8" w:rsidP="00B53CC1">
      <w:pPr>
        <w:rPr>
          <w:lang w:val="en-US"/>
        </w:rPr>
      </w:pPr>
      <w:r w:rsidRPr="001C6138">
        <w:rPr>
          <w:rStyle w:val="FootnoteReference"/>
          <w:szCs w:val="20"/>
        </w:rPr>
        <w:footnoteRef/>
      </w:r>
      <w:r w:rsidRPr="001C6138">
        <w:rPr>
          <w:szCs w:val="20"/>
        </w:rPr>
        <w:t xml:space="preserve"> This sec</w:t>
      </w:r>
      <w:r w:rsidRPr="005E78CA">
        <w:rPr>
          <w:szCs w:val="20"/>
        </w:rPr>
        <w:t>tion</w:t>
      </w:r>
      <w:r>
        <w:t xml:space="preserve"> details the ways in which medical model constructions of incapacity have impacted on the extent to which disabled people have had the opportunity to exercise legal capacity. This pertains to Question 7: “</w:t>
      </w:r>
      <w:r w:rsidRPr="001A3084">
        <w:rPr>
          <w:lang w:val="en-GB"/>
        </w:rPr>
        <w:t>Has there been any discussion or change to transition or move from consideration of a person’s ‘best interests’ to a person’s ‘rights, will and preference’ in the context of disabled people exercising their legal capacity?</w:t>
      </w:r>
      <w:r>
        <w:rPr>
          <w:lang w:val="en-GB"/>
        </w:rPr>
        <w:t>”</w:t>
      </w:r>
      <w:r>
        <w:t>. However, information relating to this question is also communicated in other sections.</w:t>
      </w:r>
    </w:p>
  </w:footnote>
  <w:footnote w:id="6">
    <w:p w14:paraId="4CA88308" w14:textId="287752E3" w:rsidR="00621CE8" w:rsidRPr="00836155" w:rsidRDefault="00621CE8" w:rsidP="00836155">
      <w:pPr>
        <w:rPr>
          <w:lang w:val="en-US"/>
        </w:rPr>
      </w:pPr>
      <w:r w:rsidRPr="00E84B4A">
        <w:rPr>
          <w:rStyle w:val="FootnoteReference"/>
        </w:rPr>
        <w:footnoteRef/>
      </w:r>
      <w:r w:rsidRPr="00E84B4A">
        <w:t xml:space="preserve"> </w:t>
      </w:r>
      <w:r w:rsidRPr="00E84B4A">
        <w:rPr>
          <w:lang w:val="en-US"/>
        </w:rPr>
        <w:t>This</w:t>
      </w:r>
      <w:r>
        <w:rPr>
          <w:lang w:val="en-US"/>
        </w:rPr>
        <w:t xml:space="preserve"> issue of cultural tendencies that favour paternalistic intervention</w:t>
      </w:r>
      <w:r w:rsidRPr="00E84B4A">
        <w:rPr>
          <w:lang w:val="en-US"/>
        </w:rPr>
        <w:t xml:space="preserve"> pertains to </w:t>
      </w:r>
      <w:r>
        <w:rPr>
          <w:lang w:val="en-US"/>
        </w:rPr>
        <w:t xml:space="preserve">Question </w:t>
      </w:r>
      <w:r w:rsidRPr="00E84B4A">
        <w:rPr>
          <w:lang w:val="en-US"/>
        </w:rPr>
        <w:t>1</w:t>
      </w:r>
      <w:r>
        <w:rPr>
          <w:lang w:val="en-US"/>
        </w:rPr>
        <w:t>, “</w:t>
      </w:r>
      <w:r w:rsidRPr="00310510">
        <w:rPr>
          <w:lang w:val="en-US"/>
        </w:rPr>
        <w:t>What evidence exists that there is a problem with disabled people exercising their legal capacity, and what is the impact on those disabled people and others?</w:t>
      </w:r>
      <w:r>
        <w:rPr>
          <w:lang w:val="en-US"/>
        </w:rPr>
        <w:t>”.</w:t>
      </w:r>
    </w:p>
  </w:footnote>
  <w:footnote w:id="7">
    <w:p w14:paraId="514AB447" w14:textId="3A4C07C3" w:rsidR="00621CE8" w:rsidRPr="00F22251" w:rsidRDefault="00621CE8" w:rsidP="00E109CC">
      <w:r>
        <w:rPr>
          <w:rStyle w:val="FootnoteReference"/>
        </w:rPr>
        <w:footnoteRef/>
      </w:r>
      <w:r>
        <w:t xml:space="preserve"> Bach &amp; Kerzner promoted facilitated decision-making in hard cases but argued that last resort substituted decision-making will sometimes be necessary. As examined in later sections, other authors extend on the idea of facilitated decision-making and promote the idea that substituted decision-making can always be replaced by facilitated decision-making.</w:t>
      </w:r>
    </w:p>
  </w:footnote>
  <w:footnote w:id="8">
    <w:p w14:paraId="787CC9B5" w14:textId="207B8373" w:rsidR="00621CE8" w:rsidRPr="00E1354E" w:rsidRDefault="00621CE8" w:rsidP="00D85E1C">
      <w:pPr>
        <w:rPr>
          <w:lang w:val="en-US"/>
        </w:rPr>
      </w:pPr>
      <w:r w:rsidRPr="00E84B4A">
        <w:rPr>
          <w:rStyle w:val="FootnoteReference"/>
        </w:rPr>
        <w:footnoteRef/>
      </w:r>
      <w:r w:rsidRPr="00E84B4A">
        <w:t xml:space="preserve"> </w:t>
      </w:r>
      <w:r>
        <w:rPr>
          <w:lang w:val="en-US"/>
        </w:rPr>
        <w:t>Denmark’s approach is an example of how an initiative has tried to balance disabled persons’ autonomy with their protection. Therefore, this is in relation to Question 5, “</w:t>
      </w:r>
      <w:r w:rsidRPr="00730C77">
        <w:rPr>
          <w:lang w:val="en-US"/>
        </w:rPr>
        <w:t>How are the rights for promoting a disabled person’s autonomy versus safeguards for their protection and safety being balanced?</w:t>
      </w:r>
      <w:r>
        <w:rPr>
          <w:lang w:val="en-US"/>
        </w:rPr>
        <w:t>”. However, the approach remains problematic given that some of the literature takes the position that denial of legal agency is inconsistent with the Convention, as is discussed in this section.</w:t>
      </w:r>
    </w:p>
  </w:footnote>
  <w:footnote w:id="9">
    <w:p w14:paraId="479B0AA8" w14:textId="6F932F35" w:rsidR="00621CE8" w:rsidRPr="00A343EB" w:rsidRDefault="00621CE8" w:rsidP="00A343EB">
      <w:pPr>
        <w:rPr>
          <w:lang w:val="en-US"/>
        </w:rPr>
      </w:pPr>
      <w:r w:rsidRPr="00E84B4A">
        <w:rPr>
          <w:rStyle w:val="FootnoteReference"/>
        </w:rPr>
        <w:footnoteRef/>
      </w:r>
      <w:r w:rsidRPr="00E84B4A">
        <w:t xml:space="preserve"> </w:t>
      </w:r>
      <w:r>
        <w:t>These are examples of how only some progress has been made with regard to changing the practice and mandate of substituted decision-making and illustrate that states parties are (incrementally) moving towards limiting its utilisation. Therefore, these examples pertain to Question 13, “</w:t>
      </w:r>
      <w:r w:rsidRPr="00730C77">
        <w:t>Has there been any change in the practice and mandate for substitute decision- making?</w:t>
      </w:r>
      <w:r>
        <w:t>”.</w:t>
      </w:r>
    </w:p>
  </w:footnote>
  <w:footnote w:id="10">
    <w:p w14:paraId="315F2DE3" w14:textId="7ABE7065" w:rsidR="00621CE8" w:rsidRPr="00B507EE" w:rsidRDefault="00621CE8" w:rsidP="00B507EE">
      <w:pPr>
        <w:rPr>
          <w:lang w:val="en-US"/>
        </w:rPr>
      </w:pPr>
      <w:r>
        <w:rPr>
          <w:rStyle w:val="FootnoteReference"/>
        </w:rPr>
        <w:footnoteRef/>
      </w:r>
      <w:r>
        <w:t xml:space="preserve"> </w:t>
      </w:r>
      <w:r>
        <w:rPr>
          <w:lang w:val="en-US"/>
        </w:rPr>
        <w:t>This relates to Question 18, “</w:t>
      </w:r>
      <w:r w:rsidRPr="00A80799">
        <w:rPr>
          <w:lang w:val="en-US"/>
        </w:rPr>
        <w:t>How far can supported decision-making be applied before it loses real or practical connection with a disabled person’s will and preference, and in practice what is happening is very nearly or already substitute decision-making in their best interests?</w:t>
      </w:r>
      <w:r>
        <w:rPr>
          <w:lang w:val="en-US"/>
        </w:rPr>
        <w:t>”.</w:t>
      </w:r>
    </w:p>
  </w:footnote>
  <w:footnote w:id="11">
    <w:p w14:paraId="2E2C66F4" w14:textId="4A1FD3B1" w:rsidR="00621CE8" w:rsidRPr="00513649" w:rsidRDefault="00621CE8" w:rsidP="00513649">
      <w:pPr>
        <w:rPr>
          <w:lang w:val="en-US"/>
        </w:rPr>
      </w:pPr>
      <w:r w:rsidRPr="009E73A1">
        <w:rPr>
          <w:rStyle w:val="FootnoteReference"/>
        </w:rPr>
        <w:footnoteRef/>
      </w:r>
      <w:r w:rsidRPr="009E73A1">
        <w:t xml:space="preserve"> </w:t>
      </w:r>
      <w:r>
        <w:t>This shift towards practicing substituted decision-making alongside supported decision-making is another change relevant to Question 13, “</w:t>
      </w:r>
      <w:r w:rsidRPr="009E73A1">
        <w:t>Has there been any change in the practice and mandate for substitute decision-making?</w:t>
      </w:r>
      <w:r>
        <w:t>”</w:t>
      </w:r>
    </w:p>
  </w:footnote>
  <w:footnote w:id="12">
    <w:p w14:paraId="7C585F1A" w14:textId="34F10D75" w:rsidR="00621CE8" w:rsidRPr="001E5491" w:rsidRDefault="00621CE8" w:rsidP="00495574">
      <w:pPr>
        <w:rPr>
          <w:lang w:val="en-US"/>
        </w:rPr>
      </w:pPr>
      <w:r w:rsidRPr="00E84B4A">
        <w:rPr>
          <w:rStyle w:val="FootnoteReference"/>
        </w:rPr>
        <w:footnoteRef/>
      </w:r>
      <w:r w:rsidRPr="00E84B4A">
        <w:t xml:space="preserve"> </w:t>
      </w:r>
      <w:r>
        <w:rPr>
          <w:lang w:val="en-US"/>
        </w:rPr>
        <w:t>This discussion pertains to Question 14, “</w:t>
      </w:r>
      <w:r w:rsidRPr="00DA2BD3">
        <w:rPr>
          <w:lang w:val="en-US"/>
        </w:rPr>
        <w:t>How is support for disabled people’s exercise of legal capacity being distinguished from supported decision-making?</w:t>
      </w:r>
      <w:r>
        <w:rPr>
          <w:lang w:val="en-US"/>
        </w:rPr>
        <w:t>”.</w:t>
      </w:r>
    </w:p>
  </w:footnote>
  <w:footnote w:id="13">
    <w:p w14:paraId="3DC37178" w14:textId="31669DD5" w:rsidR="00621CE8" w:rsidRPr="00500C65" w:rsidRDefault="00621CE8" w:rsidP="00500C65">
      <w:pPr>
        <w:rPr>
          <w:lang w:val="en-US"/>
        </w:rPr>
      </w:pPr>
      <w:r w:rsidRPr="00E84B4A">
        <w:rPr>
          <w:rStyle w:val="FootnoteReference"/>
        </w:rPr>
        <w:footnoteRef/>
      </w:r>
      <w:r w:rsidRPr="00E84B4A">
        <w:t xml:space="preserve"> </w:t>
      </w:r>
      <w:r>
        <w:t>This argument is in direct conversation with Question 17, “</w:t>
      </w:r>
      <w:r w:rsidRPr="00290300">
        <w:t>Does recognition of supported decision-making need legislation to ensure supported decisions are implemented and protection assured for the disabled decision-maker and their supporters?</w:t>
      </w:r>
      <w:r>
        <w:t>”, which is discussed in more depth in later sections.</w:t>
      </w:r>
    </w:p>
  </w:footnote>
  <w:footnote w:id="14">
    <w:p w14:paraId="70A72232" w14:textId="16ABB5FE" w:rsidR="00621CE8" w:rsidRPr="0021640E" w:rsidRDefault="00621CE8" w:rsidP="0021640E">
      <w:pPr>
        <w:rPr>
          <w:lang w:val="en-US"/>
        </w:rPr>
      </w:pPr>
      <w:r w:rsidRPr="00E84B4A">
        <w:rPr>
          <w:rStyle w:val="FootnoteReference"/>
        </w:rPr>
        <w:footnoteRef/>
      </w:r>
      <w:r w:rsidRPr="00E84B4A">
        <w:t xml:space="preserve"> </w:t>
      </w:r>
      <w:r>
        <w:rPr>
          <w:lang w:val="en-US"/>
        </w:rPr>
        <w:t>Primarily, t</w:t>
      </w:r>
      <w:r w:rsidRPr="00E84B4A">
        <w:rPr>
          <w:lang w:val="en-US"/>
        </w:rPr>
        <w:t xml:space="preserve">his section is concerned with </w:t>
      </w:r>
      <w:r>
        <w:rPr>
          <w:lang w:val="en-US"/>
        </w:rPr>
        <w:t xml:space="preserve">Question </w:t>
      </w:r>
      <w:r w:rsidRPr="00E84B4A">
        <w:rPr>
          <w:lang w:val="en-US"/>
        </w:rPr>
        <w:t>6</w:t>
      </w:r>
      <w:r>
        <w:rPr>
          <w:lang w:val="en-US"/>
        </w:rPr>
        <w:t>, “</w:t>
      </w:r>
      <w:r w:rsidRPr="00003383">
        <w:rPr>
          <w:lang w:val="en-US"/>
        </w:rPr>
        <w:t xml:space="preserve">What forms of better support for disabled people’s exercise of legal capacity have been implemented or </w:t>
      </w:r>
      <w:r>
        <w:rPr>
          <w:lang w:val="en-US"/>
        </w:rPr>
        <w:t>signalled</w:t>
      </w:r>
      <w:r w:rsidRPr="00003383">
        <w:rPr>
          <w:lang w:val="en-US"/>
        </w:rPr>
        <w:t>?</w:t>
      </w:r>
      <w:r>
        <w:rPr>
          <w:lang w:val="en-US"/>
        </w:rPr>
        <w:t>”.</w:t>
      </w:r>
    </w:p>
  </w:footnote>
  <w:footnote w:id="15">
    <w:p w14:paraId="2526733C" w14:textId="66E13D04" w:rsidR="00621CE8" w:rsidRPr="00660CE3" w:rsidRDefault="00621CE8" w:rsidP="00660CE3">
      <w:pPr>
        <w:rPr>
          <w:lang w:val="en-US"/>
        </w:rPr>
      </w:pPr>
      <w:r w:rsidRPr="00E84B4A">
        <w:rPr>
          <w:rStyle w:val="FootnoteReference"/>
        </w:rPr>
        <w:footnoteRef/>
      </w:r>
      <w:r w:rsidRPr="00E84B4A">
        <w:t xml:space="preserve"> This section </w:t>
      </w:r>
      <w:r>
        <w:t>examines the discussion around whether legislative change is necessary to give effect to Article 12 and what has been signalled by the literature with regard to this. Specifically, this pertains to Question 17, “</w:t>
      </w:r>
      <w:r w:rsidRPr="00FD5A90">
        <w:t>Does recognition of supported decision-making need legislation to ensure supported decisions are implemented and protection assured for the disabled decision-maker and their supporters?</w:t>
      </w:r>
      <w:r>
        <w:t>”</w:t>
      </w:r>
    </w:p>
  </w:footnote>
  <w:footnote w:id="16">
    <w:p w14:paraId="6A5D123E" w14:textId="774931CD" w:rsidR="00621CE8" w:rsidRPr="00225FF4" w:rsidRDefault="00621CE8">
      <w:pPr>
        <w:pStyle w:val="FootnoteText"/>
        <w:rPr>
          <w:sz w:val="20"/>
          <w:szCs w:val="20"/>
          <w:lang w:val="en-US"/>
        </w:rPr>
      </w:pPr>
      <w:r w:rsidRPr="00225FF4">
        <w:rPr>
          <w:rStyle w:val="FootnoteReference"/>
          <w:sz w:val="20"/>
          <w:szCs w:val="20"/>
        </w:rPr>
        <w:footnoteRef/>
      </w:r>
      <w:r w:rsidRPr="00225FF4">
        <w:rPr>
          <w:sz w:val="20"/>
          <w:szCs w:val="20"/>
        </w:rPr>
        <w:t xml:space="preserve"> </w:t>
      </w:r>
      <w:r w:rsidRPr="00860424">
        <w:rPr>
          <w:sz w:val="20"/>
          <w:szCs w:val="20"/>
          <w:lang w:val="en-AU"/>
        </w:rPr>
        <w:t>Byrnes et al.’s (2007</w:t>
      </w:r>
      <w:r w:rsidRPr="004D4C11">
        <w:rPr>
          <w:sz w:val="20"/>
          <w:szCs w:val="20"/>
          <w:lang w:val="en-AU"/>
        </w:rPr>
        <w:t>) Handbook for Parliamentarians, published by the United Nations, seeks to assist and advise p</w:t>
      </w:r>
      <w:r w:rsidRPr="001C6138">
        <w:rPr>
          <w:sz w:val="20"/>
          <w:szCs w:val="20"/>
          <w:lang w:val="en-AU"/>
        </w:rPr>
        <w:t>arliamentarians in changes the Convention expects in practice and also explains the Convention itself and its concerns.</w:t>
      </w:r>
    </w:p>
  </w:footnote>
  <w:footnote w:id="17">
    <w:p w14:paraId="1F5A45D5" w14:textId="77777777" w:rsidR="00621CE8" w:rsidRPr="00D411A5" w:rsidRDefault="00621CE8" w:rsidP="00382032">
      <w:pPr>
        <w:rPr>
          <w:lang w:val="en-US"/>
        </w:rPr>
      </w:pPr>
      <w:r w:rsidRPr="00E84B4A">
        <w:rPr>
          <w:rStyle w:val="FootnoteReference"/>
        </w:rPr>
        <w:footnoteRef/>
      </w:r>
      <w:r w:rsidRPr="00E84B4A">
        <w:t xml:space="preserve"> </w:t>
      </w:r>
      <w:r>
        <w:t>This example specifically pertains to measures to provide access, that is, Question 11, “</w:t>
      </w:r>
      <w:r w:rsidRPr="00D411A5">
        <w:t>Has there been any recognition in law or policy by a government regarding the obligation in Article 12(2) that: ‘States parties shall take appropriate measures to provide access to persons with disabilities to the support they may require in exercising their legal capacity.’?</w:t>
      </w:r>
      <w:r>
        <w:t>”</w:t>
      </w:r>
    </w:p>
  </w:footnote>
  <w:footnote w:id="18">
    <w:p w14:paraId="3BD8B9E4" w14:textId="77777777" w:rsidR="00621CE8" w:rsidRPr="00B418BC" w:rsidRDefault="00621CE8" w:rsidP="00382032">
      <w:pPr>
        <w:rPr>
          <w:lang w:val="en-US"/>
        </w:rPr>
      </w:pPr>
      <w:r w:rsidRPr="00E84B4A">
        <w:rPr>
          <w:rStyle w:val="FootnoteReference"/>
        </w:rPr>
        <w:footnoteRef/>
      </w:r>
      <w:r w:rsidRPr="00E84B4A">
        <w:t xml:space="preserve"> </w:t>
      </w:r>
      <w:r>
        <w:t>This is also an example that pertains to Question 11.</w:t>
      </w:r>
    </w:p>
  </w:footnote>
  <w:footnote w:id="19">
    <w:p w14:paraId="69B1C6CC" w14:textId="5D010524" w:rsidR="00621CE8" w:rsidRPr="00655264" w:rsidRDefault="00621CE8" w:rsidP="00317C56">
      <w:pPr>
        <w:rPr>
          <w:lang w:val="en-US"/>
        </w:rPr>
      </w:pPr>
      <w:r w:rsidRPr="00E84B4A">
        <w:rPr>
          <w:rStyle w:val="FootnoteReference"/>
        </w:rPr>
        <w:footnoteRef/>
      </w:r>
      <w:r w:rsidRPr="00E84B4A">
        <w:t xml:space="preserve"> </w:t>
      </w:r>
      <w:r>
        <w:t>This section on formal supported decision-making initiatives also discusses how people access support, which is in relation to Question 3, “</w:t>
      </w:r>
      <w:r w:rsidRPr="00072ABE">
        <w:t>How do disabled people access support for exercising their legal capacity?</w:t>
      </w:r>
      <w:r>
        <w:t>”</w:t>
      </w:r>
    </w:p>
  </w:footnote>
  <w:footnote w:id="20">
    <w:p w14:paraId="2252192E" w14:textId="2AE974DC" w:rsidR="00621CE8" w:rsidRPr="00E830DE" w:rsidRDefault="00621CE8" w:rsidP="00E830DE">
      <w:pPr>
        <w:rPr>
          <w:lang w:val="en-US"/>
        </w:rPr>
      </w:pPr>
      <w:r w:rsidRPr="00E84B4A">
        <w:rPr>
          <w:rStyle w:val="FootnoteReference"/>
        </w:rPr>
        <w:footnoteRef/>
      </w:r>
      <w:r w:rsidRPr="00E84B4A">
        <w:t xml:space="preserve"> </w:t>
      </w:r>
      <w:r>
        <w:rPr>
          <w:lang w:val="en-US"/>
        </w:rPr>
        <w:t>This argument also relates</w:t>
      </w:r>
      <w:r w:rsidRPr="00E84B4A">
        <w:rPr>
          <w:lang w:val="en-US"/>
        </w:rPr>
        <w:t xml:space="preserve"> to </w:t>
      </w:r>
      <w:r>
        <w:rPr>
          <w:lang w:val="en-US"/>
        </w:rPr>
        <w:t xml:space="preserve">Question </w:t>
      </w:r>
      <w:r w:rsidRPr="00E84B4A">
        <w:rPr>
          <w:lang w:val="en-US"/>
        </w:rPr>
        <w:t>5</w:t>
      </w:r>
      <w:r>
        <w:rPr>
          <w:lang w:val="en-US"/>
        </w:rPr>
        <w:t>, “</w:t>
      </w:r>
      <w:r w:rsidRPr="00667B3C">
        <w:rPr>
          <w:lang w:val="en-US"/>
        </w:rPr>
        <w:t>How are the rights for promoting a disabled person’s autonomy versus safeguards for their protection and safety being balanced?</w:t>
      </w:r>
      <w:r>
        <w:rPr>
          <w:lang w:val="en-US"/>
        </w:rPr>
        <w:t>”.</w:t>
      </w:r>
    </w:p>
  </w:footnote>
  <w:footnote w:id="21">
    <w:p w14:paraId="3536D8DD" w14:textId="7079ED82" w:rsidR="00621CE8" w:rsidRPr="00AC0667" w:rsidRDefault="00621CE8" w:rsidP="00AC0667">
      <w:pPr>
        <w:rPr>
          <w:lang w:val="en-US"/>
        </w:rPr>
      </w:pPr>
      <w:r w:rsidRPr="00E84B4A">
        <w:rPr>
          <w:rStyle w:val="FootnoteReference"/>
        </w:rPr>
        <w:footnoteRef/>
      </w:r>
      <w:r w:rsidRPr="00E84B4A">
        <w:t xml:space="preserve"> </w:t>
      </w:r>
      <w:r>
        <w:rPr>
          <w:lang w:val="en-US"/>
        </w:rPr>
        <w:t>This section highlights that perceptions of disabled people by society have yet to change in a significant way, and therefore most authors agree that little change in treatment has occurred to date. This relates to Question 4, “</w:t>
      </w:r>
      <w:r w:rsidRPr="00874F70">
        <w:rPr>
          <w:lang w:val="en-US"/>
        </w:rPr>
        <w:t>Have there been any changes in the treatment, by society, of disabled people exercising their legal capacity?</w:t>
      </w:r>
      <w:r>
        <w:rPr>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22FF"/>
    <w:multiLevelType w:val="hybridMultilevel"/>
    <w:tmpl w:val="7A744C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61E671A"/>
    <w:multiLevelType w:val="hybridMultilevel"/>
    <w:tmpl w:val="553C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043F5"/>
    <w:multiLevelType w:val="hybridMultilevel"/>
    <w:tmpl w:val="87C2C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0C5212"/>
    <w:multiLevelType w:val="hybridMultilevel"/>
    <w:tmpl w:val="721C13DA"/>
    <w:lvl w:ilvl="0" w:tplc="F60CE73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7824DA"/>
    <w:multiLevelType w:val="hybridMultilevel"/>
    <w:tmpl w:val="E3BE9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0228D2"/>
    <w:multiLevelType w:val="hybridMultilevel"/>
    <w:tmpl w:val="5DDE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B1016C"/>
    <w:multiLevelType w:val="hybridMultilevel"/>
    <w:tmpl w:val="7C6E2E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67AE9"/>
    <w:multiLevelType w:val="hybridMultilevel"/>
    <w:tmpl w:val="0B6CB066"/>
    <w:lvl w:ilvl="0" w:tplc="04090005">
      <w:start w:val="1"/>
      <w:numFmt w:val="bullet"/>
      <w:lvlText w:val=""/>
      <w:lvlJc w:val="left"/>
      <w:pPr>
        <w:ind w:left="720" w:hanging="360"/>
      </w:pPr>
      <w:rPr>
        <w:rFonts w:ascii="Wingdings" w:hAnsi="Wingdings" w:hint="default"/>
      </w:rPr>
    </w:lvl>
    <w:lvl w:ilvl="1" w:tplc="F5E878CC">
      <w:numFmt w:val="bullet"/>
      <w:lvlText w:val="•"/>
      <w:lvlJc w:val="left"/>
      <w:pPr>
        <w:ind w:left="1440" w:hanging="720"/>
      </w:pPr>
      <w:rPr>
        <w:rFonts w:ascii="Avenir Book" w:eastAsiaTheme="minorEastAsia" w:hAnsi="Avenir Book"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0016002"/>
    <w:multiLevelType w:val="hybridMultilevel"/>
    <w:tmpl w:val="E99C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D0F33"/>
    <w:multiLevelType w:val="hybridMultilevel"/>
    <w:tmpl w:val="B9A0CB9E"/>
    <w:lvl w:ilvl="0" w:tplc="F5E878CC">
      <w:numFmt w:val="bullet"/>
      <w:lvlText w:val="•"/>
      <w:lvlJc w:val="left"/>
      <w:pPr>
        <w:ind w:left="108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B408BC"/>
    <w:multiLevelType w:val="hybridMultilevel"/>
    <w:tmpl w:val="578857E4"/>
    <w:lvl w:ilvl="0" w:tplc="7E90CB0C">
      <w:start w:val="1"/>
      <w:numFmt w:val="bullet"/>
      <w:lvlText w:val=""/>
      <w:lvlJc w:val="left"/>
      <w:pPr>
        <w:ind w:left="720" w:hanging="360"/>
      </w:pPr>
      <w:rPr>
        <w:rFonts w:ascii="Wingdings" w:hAnsi="Wingdings" w:hint="default"/>
        <w:color w:val="1F497D"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AD2D31"/>
    <w:multiLevelType w:val="multilevel"/>
    <w:tmpl w:val="FB96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E7679D"/>
    <w:multiLevelType w:val="hybridMultilevel"/>
    <w:tmpl w:val="79623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D17E0F"/>
    <w:multiLevelType w:val="hybridMultilevel"/>
    <w:tmpl w:val="BE067410"/>
    <w:lvl w:ilvl="0" w:tplc="F5E878CC">
      <w:numFmt w:val="bullet"/>
      <w:lvlText w:val="•"/>
      <w:lvlJc w:val="left"/>
      <w:pPr>
        <w:ind w:left="1080" w:hanging="360"/>
      </w:pPr>
      <w:rPr>
        <w:rFonts w:ascii="Avenir Book" w:eastAsiaTheme="minorEastAsia" w:hAnsi="Avenir Book"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5381541"/>
    <w:multiLevelType w:val="hybridMultilevel"/>
    <w:tmpl w:val="2B2C7B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A5313F"/>
    <w:multiLevelType w:val="hybridMultilevel"/>
    <w:tmpl w:val="DF6838B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B3F522D"/>
    <w:multiLevelType w:val="hybridMultilevel"/>
    <w:tmpl w:val="A8A8D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1F4A9A"/>
    <w:multiLevelType w:val="hybridMultilevel"/>
    <w:tmpl w:val="7BC22BF6"/>
    <w:lvl w:ilvl="0" w:tplc="04090005">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nsid w:val="64E737F8"/>
    <w:multiLevelType w:val="hybridMultilevel"/>
    <w:tmpl w:val="DCB000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E810A7E"/>
    <w:multiLevelType w:val="hybridMultilevel"/>
    <w:tmpl w:val="809C51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F74601"/>
    <w:multiLevelType w:val="hybridMultilevel"/>
    <w:tmpl w:val="8C60E3F6"/>
    <w:lvl w:ilvl="0" w:tplc="F5E878CC">
      <w:numFmt w:val="bullet"/>
      <w:lvlText w:val="•"/>
      <w:lvlJc w:val="left"/>
      <w:pPr>
        <w:ind w:left="108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264BDE"/>
    <w:multiLevelType w:val="hybridMultilevel"/>
    <w:tmpl w:val="65E22A5C"/>
    <w:lvl w:ilvl="0" w:tplc="F5E878CC">
      <w:numFmt w:val="bullet"/>
      <w:lvlText w:val="•"/>
      <w:lvlJc w:val="left"/>
      <w:pPr>
        <w:ind w:left="720" w:hanging="720"/>
      </w:pPr>
      <w:rPr>
        <w:rFonts w:ascii="Avenir Book" w:eastAsiaTheme="minorEastAsia" w:hAnsi="Avenir Book" w:cstheme="minorBidi" w:hint="default"/>
      </w:rPr>
    </w:lvl>
    <w:lvl w:ilvl="1" w:tplc="F5E878CC">
      <w:numFmt w:val="bullet"/>
      <w:lvlText w:val="•"/>
      <w:lvlJc w:val="left"/>
      <w:pPr>
        <w:ind w:left="1440" w:hanging="720"/>
      </w:pPr>
      <w:rPr>
        <w:rFonts w:ascii="Avenir Book" w:eastAsiaTheme="minorEastAsia" w:hAnsi="Avenir Book"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31A0692"/>
    <w:multiLevelType w:val="hybridMultilevel"/>
    <w:tmpl w:val="889C27F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3EB46CC"/>
    <w:multiLevelType w:val="hybridMultilevel"/>
    <w:tmpl w:val="6F50AFE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451E12"/>
    <w:multiLevelType w:val="hybridMultilevel"/>
    <w:tmpl w:val="B4ACD9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807F4E"/>
    <w:multiLevelType w:val="hybridMultilevel"/>
    <w:tmpl w:val="5EFEC210"/>
    <w:lvl w:ilvl="0" w:tplc="1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517B62"/>
    <w:multiLevelType w:val="hybridMultilevel"/>
    <w:tmpl w:val="6E66AFE2"/>
    <w:lvl w:ilvl="0" w:tplc="7E90CB0C">
      <w:start w:val="1"/>
      <w:numFmt w:val="bullet"/>
      <w:lvlText w:val=""/>
      <w:lvlJc w:val="left"/>
      <w:pPr>
        <w:ind w:left="720" w:hanging="360"/>
      </w:pPr>
      <w:rPr>
        <w:rFonts w:ascii="Wingdings" w:hAnsi="Wingdings"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EA2313"/>
    <w:multiLevelType w:val="hybridMultilevel"/>
    <w:tmpl w:val="A60492E0"/>
    <w:lvl w:ilvl="0" w:tplc="1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5C5D0C"/>
    <w:multiLevelType w:val="hybridMultilevel"/>
    <w:tmpl w:val="D6D8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3"/>
  </w:num>
  <w:num w:numId="4">
    <w:abstractNumId w:val="25"/>
  </w:num>
  <w:num w:numId="5">
    <w:abstractNumId w:val="27"/>
  </w:num>
  <w:num w:numId="6">
    <w:abstractNumId w:val="8"/>
  </w:num>
  <w:num w:numId="7">
    <w:abstractNumId w:val="3"/>
  </w:num>
  <w:num w:numId="8">
    <w:abstractNumId w:val="1"/>
  </w:num>
  <w:num w:numId="9">
    <w:abstractNumId w:val="4"/>
  </w:num>
  <w:num w:numId="10">
    <w:abstractNumId w:val="28"/>
  </w:num>
  <w:num w:numId="11">
    <w:abstractNumId w:val="9"/>
  </w:num>
  <w:num w:numId="12">
    <w:abstractNumId w:val="20"/>
  </w:num>
  <w:num w:numId="13">
    <w:abstractNumId w:val="6"/>
  </w:num>
  <w:num w:numId="14">
    <w:abstractNumId w:val="17"/>
  </w:num>
  <w:num w:numId="15">
    <w:abstractNumId w:val="23"/>
  </w:num>
  <w:num w:numId="16">
    <w:abstractNumId w:val="19"/>
  </w:num>
  <w:num w:numId="17">
    <w:abstractNumId w:val="18"/>
  </w:num>
  <w:num w:numId="18">
    <w:abstractNumId w:val="16"/>
  </w:num>
  <w:num w:numId="19">
    <w:abstractNumId w:val="12"/>
  </w:num>
  <w:num w:numId="20">
    <w:abstractNumId w:val="7"/>
  </w:num>
  <w:num w:numId="21">
    <w:abstractNumId w:val="22"/>
  </w:num>
  <w:num w:numId="22">
    <w:abstractNumId w:val="15"/>
  </w:num>
  <w:num w:numId="23">
    <w:abstractNumId w:val="24"/>
  </w:num>
  <w:num w:numId="24">
    <w:abstractNumId w:val="2"/>
  </w:num>
  <w:num w:numId="25">
    <w:abstractNumId w:val="14"/>
  </w:num>
  <w:num w:numId="26">
    <w:abstractNumId w:val="5"/>
  </w:num>
  <w:num w:numId="27">
    <w:abstractNumId w:val="11"/>
  </w:num>
  <w:num w:numId="28">
    <w:abstractNumId w:val="26"/>
  </w:num>
  <w:num w:numId="29">
    <w:abstractNumId w:val="10"/>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rgina Richardson">
    <w15:presenceInfo w15:providerId="None" w15:userId="Georgina Richard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D6"/>
    <w:rsid w:val="00002E91"/>
    <w:rsid w:val="0000331D"/>
    <w:rsid w:val="00003383"/>
    <w:rsid w:val="00004520"/>
    <w:rsid w:val="00004A4F"/>
    <w:rsid w:val="0000603C"/>
    <w:rsid w:val="00006890"/>
    <w:rsid w:val="000077CA"/>
    <w:rsid w:val="000102BE"/>
    <w:rsid w:val="00011765"/>
    <w:rsid w:val="00012275"/>
    <w:rsid w:val="0001271A"/>
    <w:rsid w:val="0001512C"/>
    <w:rsid w:val="00015F68"/>
    <w:rsid w:val="000166CA"/>
    <w:rsid w:val="00016FC0"/>
    <w:rsid w:val="0002261E"/>
    <w:rsid w:val="000231B6"/>
    <w:rsid w:val="00024E89"/>
    <w:rsid w:val="000264B5"/>
    <w:rsid w:val="00026AA3"/>
    <w:rsid w:val="00031B06"/>
    <w:rsid w:val="00032F39"/>
    <w:rsid w:val="0003338E"/>
    <w:rsid w:val="00033742"/>
    <w:rsid w:val="00033904"/>
    <w:rsid w:val="00035851"/>
    <w:rsid w:val="0003617A"/>
    <w:rsid w:val="00036EAC"/>
    <w:rsid w:val="00037517"/>
    <w:rsid w:val="000400BE"/>
    <w:rsid w:val="00040930"/>
    <w:rsid w:val="00041503"/>
    <w:rsid w:val="000415BE"/>
    <w:rsid w:val="00043067"/>
    <w:rsid w:val="00045F67"/>
    <w:rsid w:val="00046B02"/>
    <w:rsid w:val="000470B3"/>
    <w:rsid w:val="00047BF2"/>
    <w:rsid w:val="000513A5"/>
    <w:rsid w:val="00051CAE"/>
    <w:rsid w:val="00051F6F"/>
    <w:rsid w:val="000521C2"/>
    <w:rsid w:val="0005265B"/>
    <w:rsid w:val="00054148"/>
    <w:rsid w:val="0005466B"/>
    <w:rsid w:val="0005522B"/>
    <w:rsid w:val="00055F24"/>
    <w:rsid w:val="0005655D"/>
    <w:rsid w:val="00056697"/>
    <w:rsid w:val="000603F2"/>
    <w:rsid w:val="00060463"/>
    <w:rsid w:val="00060D9E"/>
    <w:rsid w:val="00060FE7"/>
    <w:rsid w:val="0006270C"/>
    <w:rsid w:val="000637EF"/>
    <w:rsid w:val="00063853"/>
    <w:rsid w:val="000643BB"/>
    <w:rsid w:val="000650EC"/>
    <w:rsid w:val="00065C24"/>
    <w:rsid w:val="00066117"/>
    <w:rsid w:val="00066FDD"/>
    <w:rsid w:val="0007077A"/>
    <w:rsid w:val="00070EEE"/>
    <w:rsid w:val="00071A91"/>
    <w:rsid w:val="00071C24"/>
    <w:rsid w:val="000728A5"/>
    <w:rsid w:val="00072ABE"/>
    <w:rsid w:val="000766FE"/>
    <w:rsid w:val="000768F8"/>
    <w:rsid w:val="00080454"/>
    <w:rsid w:val="0008135F"/>
    <w:rsid w:val="00081D83"/>
    <w:rsid w:val="00082793"/>
    <w:rsid w:val="00084CCC"/>
    <w:rsid w:val="0008549E"/>
    <w:rsid w:val="00085634"/>
    <w:rsid w:val="0008563F"/>
    <w:rsid w:val="0008565A"/>
    <w:rsid w:val="0008601D"/>
    <w:rsid w:val="00086205"/>
    <w:rsid w:val="00091699"/>
    <w:rsid w:val="000922E7"/>
    <w:rsid w:val="00092598"/>
    <w:rsid w:val="00093ABB"/>
    <w:rsid w:val="00094857"/>
    <w:rsid w:val="00096600"/>
    <w:rsid w:val="000972B5"/>
    <w:rsid w:val="000975F9"/>
    <w:rsid w:val="00097D0C"/>
    <w:rsid w:val="000A3332"/>
    <w:rsid w:val="000A47C0"/>
    <w:rsid w:val="000A51CB"/>
    <w:rsid w:val="000A5D75"/>
    <w:rsid w:val="000A72EA"/>
    <w:rsid w:val="000B0368"/>
    <w:rsid w:val="000B080D"/>
    <w:rsid w:val="000B12DC"/>
    <w:rsid w:val="000B2AB0"/>
    <w:rsid w:val="000B2ED6"/>
    <w:rsid w:val="000B35E8"/>
    <w:rsid w:val="000B5CBA"/>
    <w:rsid w:val="000B60AF"/>
    <w:rsid w:val="000B73A6"/>
    <w:rsid w:val="000C063E"/>
    <w:rsid w:val="000C22BE"/>
    <w:rsid w:val="000C2A2F"/>
    <w:rsid w:val="000C2F78"/>
    <w:rsid w:val="000C31F9"/>
    <w:rsid w:val="000C3362"/>
    <w:rsid w:val="000C3A96"/>
    <w:rsid w:val="000C5389"/>
    <w:rsid w:val="000C5BE7"/>
    <w:rsid w:val="000C5D2B"/>
    <w:rsid w:val="000C5E4C"/>
    <w:rsid w:val="000C6939"/>
    <w:rsid w:val="000C72B1"/>
    <w:rsid w:val="000C79EA"/>
    <w:rsid w:val="000C7B9E"/>
    <w:rsid w:val="000D078A"/>
    <w:rsid w:val="000D1E6C"/>
    <w:rsid w:val="000D2F0E"/>
    <w:rsid w:val="000D4B5F"/>
    <w:rsid w:val="000D4FCF"/>
    <w:rsid w:val="000D722F"/>
    <w:rsid w:val="000D7B5F"/>
    <w:rsid w:val="000E105D"/>
    <w:rsid w:val="000E1498"/>
    <w:rsid w:val="000E1DC5"/>
    <w:rsid w:val="000E1F14"/>
    <w:rsid w:val="000E31F7"/>
    <w:rsid w:val="000E3DDA"/>
    <w:rsid w:val="000E4DD4"/>
    <w:rsid w:val="000E56DA"/>
    <w:rsid w:val="000E6270"/>
    <w:rsid w:val="000E6DA3"/>
    <w:rsid w:val="000E7248"/>
    <w:rsid w:val="000F0777"/>
    <w:rsid w:val="000F1071"/>
    <w:rsid w:val="000F2217"/>
    <w:rsid w:val="000F4722"/>
    <w:rsid w:val="000F4742"/>
    <w:rsid w:val="000F5F92"/>
    <w:rsid w:val="001004FD"/>
    <w:rsid w:val="0010149C"/>
    <w:rsid w:val="001018DE"/>
    <w:rsid w:val="001022B7"/>
    <w:rsid w:val="00105CB3"/>
    <w:rsid w:val="00106CCA"/>
    <w:rsid w:val="001108BF"/>
    <w:rsid w:val="00110A06"/>
    <w:rsid w:val="0011107B"/>
    <w:rsid w:val="001113E6"/>
    <w:rsid w:val="00112EA6"/>
    <w:rsid w:val="00113C44"/>
    <w:rsid w:val="00115EAC"/>
    <w:rsid w:val="001160C5"/>
    <w:rsid w:val="0011657C"/>
    <w:rsid w:val="00116D3E"/>
    <w:rsid w:val="00116DE8"/>
    <w:rsid w:val="001208F9"/>
    <w:rsid w:val="00121203"/>
    <w:rsid w:val="00123C6C"/>
    <w:rsid w:val="00123FFA"/>
    <w:rsid w:val="001249E6"/>
    <w:rsid w:val="00125283"/>
    <w:rsid w:val="00126119"/>
    <w:rsid w:val="0012612C"/>
    <w:rsid w:val="00127423"/>
    <w:rsid w:val="00127B26"/>
    <w:rsid w:val="00132092"/>
    <w:rsid w:val="001331D1"/>
    <w:rsid w:val="00135DFA"/>
    <w:rsid w:val="00136302"/>
    <w:rsid w:val="00137942"/>
    <w:rsid w:val="00137B5B"/>
    <w:rsid w:val="00137B91"/>
    <w:rsid w:val="00137C65"/>
    <w:rsid w:val="0014037A"/>
    <w:rsid w:val="00141B3A"/>
    <w:rsid w:val="001427C7"/>
    <w:rsid w:val="00144A6C"/>
    <w:rsid w:val="00145D5C"/>
    <w:rsid w:val="001461AD"/>
    <w:rsid w:val="00146492"/>
    <w:rsid w:val="00147CAB"/>
    <w:rsid w:val="00151BA0"/>
    <w:rsid w:val="001529D4"/>
    <w:rsid w:val="00152D35"/>
    <w:rsid w:val="00153C1E"/>
    <w:rsid w:val="00153CE3"/>
    <w:rsid w:val="00154B0C"/>
    <w:rsid w:val="0015694B"/>
    <w:rsid w:val="00157BF4"/>
    <w:rsid w:val="00157F08"/>
    <w:rsid w:val="0016211A"/>
    <w:rsid w:val="0016444E"/>
    <w:rsid w:val="001644B6"/>
    <w:rsid w:val="001647F5"/>
    <w:rsid w:val="0016492B"/>
    <w:rsid w:val="00164D00"/>
    <w:rsid w:val="00167391"/>
    <w:rsid w:val="0017189A"/>
    <w:rsid w:val="00171E37"/>
    <w:rsid w:val="001736B3"/>
    <w:rsid w:val="001737C3"/>
    <w:rsid w:val="00174162"/>
    <w:rsid w:val="00174233"/>
    <w:rsid w:val="0017478F"/>
    <w:rsid w:val="00174D23"/>
    <w:rsid w:val="00175900"/>
    <w:rsid w:val="0017654D"/>
    <w:rsid w:val="00176BE0"/>
    <w:rsid w:val="001777DD"/>
    <w:rsid w:val="00177FAC"/>
    <w:rsid w:val="001804B5"/>
    <w:rsid w:val="00181DA5"/>
    <w:rsid w:val="00181FB3"/>
    <w:rsid w:val="00182119"/>
    <w:rsid w:val="001823A8"/>
    <w:rsid w:val="00184F2A"/>
    <w:rsid w:val="001908B8"/>
    <w:rsid w:val="00191137"/>
    <w:rsid w:val="001933DE"/>
    <w:rsid w:val="001940CC"/>
    <w:rsid w:val="001945D5"/>
    <w:rsid w:val="00194D05"/>
    <w:rsid w:val="0019522E"/>
    <w:rsid w:val="001958FD"/>
    <w:rsid w:val="001A0B0D"/>
    <w:rsid w:val="001A140F"/>
    <w:rsid w:val="001A1DE5"/>
    <w:rsid w:val="001A3084"/>
    <w:rsid w:val="001A480C"/>
    <w:rsid w:val="001A50B2"/>
    <w:rsid w:val="001A6146"/>
    <w:rsid w:val="001A692F"/>
    <w:rsid w:val="001A7241"/>
    <w:rsid w:val="001A7ACB"/>
    <w:rsid w:val="001A7FAE"/>
    <w:rsid w:val="001B1420"/>
    <w:rsid w:val="001B1E9D"/>
    <w:rsid w:val="001B1F8C"/>
    <w:rsid w:val="001B331D"/>
    <w:rsid w:val="001B34B9"/>
    <w:rsid w:val="001B40DB"/>
    <w:rsid w:val="001B4144"/>
    <w:rsid w:val="001B4873"/>
    <w:rsid w:val="001B4D67"/>
    <w:rsid w:val="001B5479"/>
    <w:rsid w:val="001B6580"/>
    <w:rsid w:val="001B6E02"/>
    <w:rsid w:val="001C0BB1"/>
    <w:rsid w:val="001C1EA1"/>
    <w:rsid w:val="001C1FA0"/>
    <w:rsid w:val="001C2542"/>
    <w:rsid w:val="001C2855"/>
    <w:rsid w:val="001C3259"/>
    <w:rsid w:val="001C60D3"/>
    <w:rsid w:val="001C6138"/>
    <w:rsid w:val="001C6395"/>
    <w:rsid w:val="001C63B6"/>
    <w:rsid w:val="001C71AA"/>
    <w:rsid w:val="001C78A6"/>
    <w:rsid w:val="001D208A"/>
    <w:rsid w:val="001D2B09"/>
    <w:rsid w:val="001D5620"/>
    <w:rsid w:val="001D568D"/>
    <w:rsid w:val="001D62ED"/>
    <w:rsid w:val="001E0467"/>
    <w:rsid w:val="001E04BF"/>
    <w:rsid w:val="001E2C30"/>
    <w:rsid w:val="001E3261"/>
    <w:rsid w:val="001E369A"/>
    <w:rsid w:val="001E3959"/>
    <w:rsid w:val="001E40D0"/>
    <w:rsid w:val="001E535B"/>
    <w:rsid w:val="001E5491"/>
    <w:rsid w:val="001E5D10"/>
    <w:rsid w:val="001F01E4"/>
    <w:rsid w:val="001F0524"/>
    <w:rsid w:val="001F10D7"/>
    <w:rsid w:val="001F194F"/>
    <w:rsid w:val="001F2548"/>
    <w:rsid w:val="001F3506"/>
    <w:rsid w:val="001F48DE"/>
    <w:rsid w:val="001F4DD3"/>
    <w:rsid w:val="001F5891"/>
    <w:rsid w:val="001F5BF2"/>
    <w:rsid w:val="002000B1"/>
    <w:rsid w:val="0020013E"/>
    <w:rsid w:val="002008A8"/>
    <w:rsid w:val="00200B3D"/>
    <w:rsid w:val="0020136D"/>
    <w:rsid w:val="00202960"/>
    <w:rsid w:val="0020322C"/>
    <w:rsid w:val="00203C55"/>
    <w:rsid w:val="00204FA5"/>
    <w:rsid w:val="00205132"/>
    <w:rsid w:val="0020662E"/>
    <w:rsid w:val="002104F7"/>
    <w:rsid w:val="00210618"/>
    <w:rsid w:val="002120F1"/>
    <w:rsid w:val="0021233B"/>
    <w:rsid w:val="00212416"/>
    <w:rsid w:val="002127C1"/>
    <w:rsid w:val="002134DD"/>
    <w:rsid w:val="00215231"/>
    <w:rsid w:val="002159E5"/>
    <w:rsid w:val="0021640E"/>
    <w:rsid w:val="00217A4D"/>
    <w:rsid w:val="002206C0"/>
    <w:rsid w:val="0022135E"/>
    <w:rsid w:val="002219A2"/>
    <w:rsid w:val="00222FB9"/>
    <w:rsid w:val="002231F8"/>
    <w:rsid w:val="00223545"/>
    <w:rsid w:val="00223C53"/>
    <w:rsid w:val="00224198"/>
    <w:rsid w:val="002242E2"/>
    <w:rsid w:val="0022488A"/>
    <w:rsid w:val="00224C15"/>
    <w:rsid w:val="00225FF4"/>
    <w:rsid w:val="00226FC0"/>
    <w:rsid w:val="00227660"/>
    <w:rsid w:val="00227D07"/>
    <w:rsid w:val="002311CB"/>
    <w:rsid w:val="00232824"/>
    <w:rsid w:val="00233ED6"/>
    <w:rsid w:val="00235046"/>
    <w:rsid w:val="00235A89"/>
    <w:rsid w:val="00236ADD"/>
    <w:rsid w:val="002440BB"/>
    <w:rsid w:val="00245075"/>
    <w:rsid w:val="00246E11"/>
    <w:rsid w:val="00250336"/>
    <w:rsid w:val="0025039E"/>
    <w:rsid w:val="0025175F"/>
    <w:rsid w:val="0025506E"/>
    <w:rsid w:val="00256F00"/>
    <w:rsid w:val="0026061A"/>
    <w:rsid w:val="002606ED"/>
    <w:rsid w:val="00260A72"/>
    <w:rsid w:val="00262218"/>
    <w:rsid w:val="002627A8"/>
    <w:rsid w:val="00263085"/>
    <w:rsid w:val="002631A4"/>
    <w:rsid w:val="00263576"/>
    <w:rsid w:val="00263800"/>
    <w:rsid w:val="00263947"/>
    <w:rsid w:val="0026530E"/>
    <w:rsid w:val="002657E7"/>
    <w:rsid w:val="002665E6"/>
    <w:rsid w:val="00266F27"/>
    <w:rsid w:val="0026747A"/>
    <w:rsid w:val="00267556"/>
    <w:rsid w:val="002675C7"/>
    <w:rsid w:val="00267B91"/>
    <w:rsid w:val="0027093B"/>
    <w:rsid w:val="002729E3"/>
    <w:rsid w:val="00272DFD"/>
    <w:rsid w:val="002738DF"/>
    <w:rsid w:val="00276DC4"/>
    <w:rsid w:val="00277D5C"/>
    <w:rsid w:val="00277E19"/>
    <w:rsid w:val="00280828"/>
    <w:rsid w:val="002813BE"/>
    <w:rsid w:val="00281B02"/>
    <w:rsid w:val="00282A17"/>
    <w:rsid w:val="00284DCC"/>
    <w:rsid w:val="00286307"/>
    <w:rsid w:val="00286600"/>
    <w:rsid w:val="00286C23"/>
    <w:rsid w:val="00286FC1"/>
    <w:rsid w:val="00290300"/>
    <w:rsid w:val="00290A9D"/>
    <w:rsid w:val="0029390D"/>
    <w:rsid w:val="002970D0"/>
    <w:rsid w:val="0029717F"/>
    <w:rsid w:val="002977EE"/>
    <w:rsid w:val="002A169C"/>
    <w:rsid w:val="002A3191"/>
    <w:rsid w:val="002A545B"/>
    <w:rsid w:val="002A5D04"/>
    <w:rsid w:val="002A5DCF"/>
    <w:rsid w:val="002A6563"/>
    <w:rsid w:val="002A68C5"/>
    <w:rsid w:val="002B1A75"/>
    <w:rsid w:val="002B49CA"/>
    <w:rsid w:val="002B7AFE"/>
    <w:rsid w:val="002C00C2"/>
    <w:rsid w:val="002C0721"/>
    <w:rsid w:val="002C09F0"/>
    <w:rsid w:val="002C0A2A"/>
    <w:rsid w:val="002C26F4"/>
    <w:rsid w:val="002C34CE"/>
    <w:rsid w:val="002C4768"/>
    <w:rsid w:val="002C587A"/>
    <w:rsid w:val="002C5EA2"/>
    <w:rsid w:val="002C6CA2"/>
    <w:rsid w:val="002C6E91"/>
    <w:rsid w:val="002C757F"/>
    <w:rsid w:val="002D13AB"/>
    <w:rsid w:val="002D1C05"/>
    <w:rsid w:val="002D357A"/>
    <w:rsid w:val="002D3A88"/>
    <w:rsid w:val="002D46E3"/>
    <w:rsid w:val="002D4D6B"/>
    <w:rsid w:val="002D4F33"/>
    <w:rsid w:val="002D6A5B"/>
    <w:rsid w:val="002D76A5"/>
    <w:rsid w:val="002D7ED5"/>
    <w:rsid w:val="002E0493"/>
    <w:rsid w:val="002E0DE3"/>
    <w:rsid w:val="002E1169"/>
    <w:rsid w:val="002E36D7"/>
    <w:rsid w:val="002E3EE5"/>
    <w:rsid w:val="002E7CC3"/>
    <w:rsid w:val="002F026F"/>
    <w:rsid w:val="002F049B"/>
    <w:rsid w:val="002F20C7"/>
    <w:rsid w:val="002F2321"/>
    <w:rsid w:val="002F367F"/>
    <w:rsid w:val="002F3DD7"/>
    <w:rsid w:val="002F40F5"/>
    <w:rsid w:val="002F4744"/>
    <w:rsid w:val="002F4EC9"/>
    <w:rsid w:val="002F5350"/>
    <w:rsid w:val="002F5C8A"/>
    <w:rsid w:val="002F618D"/>
    <w:rsid w:val="002F6CE1"/>
    <w:rsid w:val="002F6DAF"/>
    <w:rsid w:val="002F7344"/>
    <w:rsid w:val="003009D2"/>
    <w:rsid w:val="0030109F"/>
    <w:rsid w:val="003013EA"/>
    <w:rsid w:val="0030233C"/>
    <w:rsid w:val="00303883"/>
    <w:rsid w:val="00303DB1"/>
    <w:rsid w:val="003042B0"/>
    <w:rsid w:val="00304620"/>
    <w:rsid w:val="003050E4"/>
    <w:rsid w:val="0030532E"/>
    <w:rsid w:val="0030661B"/>
    <w:rsid w:val="0030679C"/>
    <w:rsid w:val="003102D3"/>
    <w:rsid w:val="00310510"/>
    <w:rsid w:val="00310B8D"/>
    <w:rsid w:val="00310CB1"/>
    <w:rsid w:val="00310D91"/>
    <w:rsid w:val="00311F87"/>
    <w:rsid w:val="0031393B"/>
    <w:rsid w:val="00313E0B"/>
    <w:rsid w:val="00314B4F"/>
    <w:rsid w:val="00314B5F"/>
    <w:rsid w:val="00316778"/>
    <w:rsid w:val="00316CD1"/>
    <w:rsid w:val="003176DF"/>
    <w:rsid w:val="00317C56"/>
    <w:rsid w:val="00317CFE"/>
    <w:rsid w:val="00317EBB"/>
    <w:rsid w:val="00320550"/>
    <w:rsid w:val="003215EA"/>
    <w:rsid w:val="003221FE"/>
    <w:rsid w:val="00322E7E"/>
    <w:rsid w:val="00323401"/>
    <w:rsid w:val="00323745"/>
    <w:rsid w:val="00323821"/>
    <w:rsid w:val="003248C2"/>
    <w:rsid w:val="00324B59"/>
    <w:rsid w:val="00326086"/>
    <w:rsid w:val="0032635A"/>
    <w:rsid w:val="00326826"/>
    <w:rsid w:val="003274CA"/>
    <w:rsid w:val="00330ACE"/>
    <w:rsid w:val="00331EA0"/>
    <w:rsid w:val="00331F1F"/>
    <w:rsid w:val="0033309C"/>
    <w:rsid w:val="003338A6"/>
    <w:rsid w:val="00336937"/>
    <w:rsid w:val="003375C9"/>
    <w:rsid w:val="0034125B"/>
    <w:rsid w:val="003417C2"/>
    <w:rsid w:val="00342129"/>
    <w:rsid w:val="00342643"/>
    <w:rsid w:val="00342E4F"/>
    <w:rsid w:val="00343051"/>
    <w:rsid w:val="00343FCA"/>
    <w:rsid w:val="003447F2"/>
    <w:rsid w:val="00344854"/>
    <w:rsid w:val="003448A5"/>
    <w:rsid w:val="00344D22"/>
    <w:rsid w:val="003466E6"/>
    <w:rsid w:val="003471B1"/>
    <w:rsid w:val="0034751F"/>
    <w:rsid w:val="003479D2"/>
    <w:rsid w:val="00350821"/>
    <w:rsid w:val="00350C6E"/>
    <w:rsid w:val="003523E5"/>
    <w:rsid w:val="00352F29"/>
    <w:rsid w:val="00353C4E"/>
    <w:rsid w:val="00361873"/>
    <w:rsid w:val="00362703"/>
    <w:rsid w:val="00362BCA"/>
    <w:rsid w:val="0036303D"/>
    <w:rsid w:val="0036598B"/>
    <w:rsid w:val="003665CA"/>
    <w:rsid w:val="0036713E"/>
    <w:rsid w:val="003723EA"/>
    <w:rsid w:val="00373C38"/>
    <w:rsid w:val="00373DCE"/>
    <w:rsid w:val="00373F3D"/>
    <w:rsid w:val="00374547"/>
    <w:rsid w:val="003745E3"/>
    <w:rsid w:val="00376567"/>
    <w:rsid w:val="00376AF7"/>
    <w:rsid w:val="00376CB3"/>
    <w:rsid w:val="00376D60"/>
    <w:rsid w:val="003773B7"/>
    <w:rsid w:val="00381154"/>
    <w:rsid w:val="00381798"/>
    <w:rsid w:val="00382032"/>
    <w:rsid w:val="00382CAD"/>
    <w:rsid w:val="003832B4"/>
    <w:rsid w:val="00383C17"/>
    <w:rsid w:val="00383E55"/>
    <w:rsid w:val="00384664"/>
    <w:rsid w:val="00384685"/>
    <w:rsid w:val="0038472F"/>
    <w:rsid w:val="00384AF7"/>
    <w:rsid w:val="00384C6C"/>
    <w:rsid w:val="003857B9"/>
    <w:rsid w:val="00385978"/>
    <w:rsid w:val="003860A9"/>
    <w:rsid w:val="00386F94"/>
    <w:rsid w:val="00387591"/>
    <w:rsid w:val="00392073"/>
    <w:rsid w:val="00392157"/>
    <w:rsid w:val="0039349E"/>
    <w:rsid w:val="00395A1A"/>
    <w:rsid w:val="00395E9D"/>
    <w:rsid w:val="003962B7"/>
    <w:rsid w:val="00396D99"/>
    <w:rsid w:val="00396E7E"/>
    <w:rsid w:val="00397311"/>
    <w:rsid w:val="00397AA9"/>
    <w:rsid w:val="003A0B36"/>
    <w:rsid w:val="003A0EDB"/>
    <w:rsid w:val="003A10C5"/>
    <w:rsid w:val="003A1751"/>
    <w:rsid w:val="003A28A7"/>
    <w:rsid w:val="003A3227"/>
    <w:rsid w:val="003A4623"/>
    <w:rsid w:val="003A479E"/>
    <w:rsid w:val="003A4891"/>
    <w:rsid w:val="003B12BC"/>
    <w:rsid w:val="003B2F39"/>
    <w:rsid w:val="003B47B0"/>
    <w:rsid w:val="003C3A15"/>
    <w:rsid w:val="003C4E21"/>
    <w:rsid w:val="003C5BF7"/>
    <w:rsid w:val="003D0651"/>
    <w:rsid w:val="003D0A9B"/>
    <w:rsid w:val="003D17DA"/>
    <w:rsid w:val="003D1B4D"/>
    <w:rsid w:val="003D2341"/>
    <w:rsid w:val="003D2609"/>
    <w:rsid w:val="003D2A72"/>
    <w:rsid w:val="003D2C40"/>
    <w:rsid w:val="003D2E62"/>
    <w:rsid w:val="003D369C"/>
    <w:rsid w:val="003D3DBA"/>
    <w:rsid w:val="003D41A6"/>
    <w:rsid w:val="003D59C8"/>
    <w:rsid w:val="003D7F53"/>
    <w:rsid w:val="003E2039"/>
    <w:rsid w:val="003E20E0"/>
    <w:rsid w:val="003E27F6"/>
    <w:rsid w:val="003E3C32"/>
    <w:rsid w:val="003E564B"/>
    <w:rsid w:val="003E5DF7"/>
    <w:rsid w:val="003E6449"/>
    <w:rsid w:val="003E6524"/>
    <w:rsid w:val="003F002C"/>
    <w:rsid w:val="003F187E"/>
    <w:rsid w:val="003F3014"/>
    <w:rsid w:val="003F3518"/>
    <w:rsid w:val="003F397E"/>
    <w:rsid w:val="003F3B7E"/>
    <w:rsid w:val="003F461D"/>
    <w:rsid w:val="003F6523"/>
    <w:rsid w:val="003F7786"/>
    <w:rsid w:val="004003A8"/>
    <w:rsid w:val="00400820"/>
    <w:rsid w:val="004061EA"/>
    <w:rsid w:val="00406262"/>
    <w:rsid w:val="004070FE"/>
    <w:rsid w:val="0041200C"/>
    <w:rsid w:val="0041253E"/>
    <w:rsid w:val="0041270C"/>
    <w:rsid w:val="00412BC4"/>
    <w:rsid w:val="00412CE6"/>
    <w:rsid w:val="00415022"/>
    <w:rsid w:val="0041540A"/>
    <w:rsid w:val="004164B1"/>
    <w:rsid w:val="00422F00"/>
    <w:rsid w:val="0042710E"/>
    <w:rsid w:val="004278E1"/>
    <w:rsid w:val="00430E42"/>
    <w:rsid w:val="0043288A"/>
    <w:rsid w:val="00436F96"/>
    <w:rsid w:val="00437779"/>
    <w:rsid w:val="0044071E"/>
    <w:rsid w:val="004425D1"/>
    <w:rsid w:val="00443430"/>
    <w:rsid w:val="0044379C"/>
    <w:rsid w:val="00444750"/>
    <w:rsid w:val="00446BA0"/>
    <w:rsid w:val="00446FB9"/>
    <w:rsid w:val="0044763E"/>
    <w:rsid w:val="00450309"/>
    <w:rsid w:val="00450E30"/>
    <w:rsid w:val="00451F54"/>
    <w:rsid w:val="00452143"/>
    <w:rsid w:val="00453946"/>
    <w:rsid w:val="00454841"/>
    <w:rsid w:val="00461D2F"/>
    <w:rsid w:val="004624B6"/>
    <w:rsid w:val="004626E1"/>
    <w:rsid w:val="00462C49"/>
    <w:rsid w:val="00462F5B"/>
    <w:rsid w:val="00462F8E"/>
    <w:rsid w:val="0046566A"/>
    <w:rsid w:val="00465D09"/>
    <w:rsid w:val="0046623B"/>
    <w:rsid w:val="00467867"/>
    <w:rsid w:val="00471684"/>
    <w:rsid w:val="004725E2"/>
    <w:rsid w:val="00472990"/>
    <w:rsid w:val="0047330C"/>
    <w:rsid w:val="00475367"/>
    <w:rsid w:val="00475BA1"/>
    <w:rsid w:val="00477252"/>
    <w:rsid w:val="004811D5"/>
    <w:rsid w:val="00481854"/>
    <w:rsid w:val="00481E72"/>
    <w:rsid w:val="004821B6"/>
    <w:rsid w:val="004821C1"/>
    <w:rsid w:val="0048358B"/>
    <w:rsid w:val="00483E57"/>
    <w:rsid w:val="0048449C"/>
    <w:rsid w:val="004855C9"/>
    <w:rsid w:val="004855E2"/>
    <w:rsid w:val="00486D2C"/>
    <w:rsid w:val="004874E2"/>
    <w:rsid w:val="00490077"/>
    <w:rsid w:val="004905DC"/>
    <w:rsid w:val="00491087"/>
    <w:rsid w:val="004913D7"/>
    <w:rsid w:val="004942B2"/>
    <w:rsid w:val="00495574"/>
    <w:rsid w:val="00495821"/>
    <w:rsid w:val="00497019"/>
    <w:rsid w:val="00497F42"/>
    <w:rsid w:val="004A0ABC"/>
    <w:rsid w:val="004A15EF"/>
    <w:rsid w:val="004A161D"/>
    <w:rsid w:val="004A2C21"/>
    <w:rsid w:val="004A3E66"/>
    <w:rsid w:val="004A46D3"/>
    <w:rsid w:val="004A4FB2"/>
    <w:rsid w:val="004A5F85"/>
    <w:rsid w:val="004A63AF"/>
    <w:rsid w:val="004A72EE"/>
    <w:rsid w:val="004B089C"/>
    <w:rsid w:val="004B2616"/>
    <w:rsid w:val="004B35CA"/>
    <w:rsid w:val="004B3E8D"/>
    <w:rsid w:val="004B3FA2"/>
    <w:rsid w:val="004B4043"/>
    <w:rsid w:val="004B505F"/>
    <w:rsid w:val="004B5AE0"/>
    <w:rsid w:val="004B6AB4"/>
    <w:rsid w:val="004C10AC"/>
    <w:rsid w:val="004C1EED"/>
    <w:rsid w:val="004C46BA"/>
    <w:rsid w:val="004C5000"/>
    <w:rsid w:val="004C64AE"/>
    <w:rsid w:val="004C668C"/>
    <w:rsid w:val="004C67FF"/>
    <w:rsid w:val="004C6B3A"/>
    <w:rsid w:val="004C75BD"/>
    <w:rsid w:val="004D0732"/>
    <w:rsid w:val="004D08EF"/>
    <w:rsid w:val="004D1675"/>
    <w:rsid w:val="004D25B6"/>
    <w:rsid w:val="004D2BE2"/>
    <w:rsid w:val="004D3874"/>
    <w:rsid w:val="004D41D5"/>
    <w:rsid w:val="004D4C11"/>
    <w:rsid w:val="004D4CDE"/>
    <w:rsid w:val="004D6008"/>
    <w:rsid w:val="004D6933"/>
    <w:rsid w:val="004D6C5E"/>
    <w:rsid w:val="004D7A27"/>
    <w:rsid w:val="004E030A"/>
    <w:rsid w:val="004E2596"/>
    <w:rsid w:val="004E468B"/>
    <w:rsid w:val="004E5E9B"/>
    <w:rsid w:val="004F2D7A"/>
    <w:rsid w:val="004F3D15"/>
    <w:rsid w:val="004F5A59"/>
    <w:rsid w:val="004F6552"/>
    <w:rsid w:val="004F6DA5"/>
    <w:rsid w:val="00500C65"/>
    <w:rsid w:val="00500DCF"/>
    <w:rsid w:val="00501516"/>
    <w:rsid w:val="005019AD"/>
    <w:rsid w:val="00502191"/>
    <w:rsid w:val="00503232"/>
    <w:rsid w:val="005032DC"/>
    <w:rsid w:val="005035F6"/>
    <w:rsid w:val="0050451E"/>
    <w:rsid w:val="00505B8E"/>
    <w:rsid w:val="005068CA"/>
    <w:rsid w:val="00507BE5"/>
    <w:rsid w:val="005109E1"/>
    <w:rsid w:val="00510E4D"/>
    <w:rsid w:val="00512B6B"/>
    <w:rsid w:val="00513649"/>
    <w:rsid w:val="0051595D"/>
    <w:rsid w:val="0051605E"/>
    <w:rsid w:val="00516154"/>
    <w:rsid w:val="00517389"/>
    <w:rsid w:val="00517780"/>
    <w:rsid w:val="0052130F"/>
    <w:rsid w:val="00521882"/>
    <w:rsid w:val="00524431"/>
    <w:rsid w:val="0052523B"/>
    <w:rsid w:val="005252D0"/>
    <w:rsid w:val="005267E9"/>
    <w:rsid w:val="00526D7B"/>
    <w:rsid w:val="00527DE4"/>
    <w:rsid w:val="005305E7"/>
    <w:rsid w:val="005311A8"/>
    <w:rsid w:val="00531493"/>
    <w:rsid w:val="00531969"/>
    <w:rsid w:val="005374E4"/>
    <w:rsid w:val="00537FBD"/>
    <w:rsid w:val="00540049"/>
    <w:rsid w:val="0054083D"/>
    <w:rsid w:val="00542290"/>
    <w:rsid w:val="00542B80"/>
    <w:rsid w:val="0054345B"/>
    <w:rsid w:val="005449DE"/>
    <w:rsid w:val="005464FB"/>
    <w:rsid w:val="00546F22"/>
    <w:rsid w:val="00547899"/>
    <w:rsid w:val="00547D57"/>
    <w:rsid w:val="00550648"/>
    <w:rsid w:val="0055149F"/>
    <w:rsid w:val="0055158C"/>
    <w:rsid w:val="0055192C"/>
    <w:rsid w:val="00551D3C"/>
    <w:rsid w:val="00553987"/>
    <w:rsid w:val="0055433D"/>
    <w:rsid w:val="0055443E"/>
    <w:rsid w:val="00554D6F"/>
    <w:rsid w:val="0055525C"/>
    <w:rsid w:val="00555DE5"/>
    <w:rsid w:val="00556B9F"/>
    <w:rsid w:val="005576DF"/>
    <w:rsid w:val="005579E3"/>
    <w:rsid w:val="00557EF9"/>
    <w:rsid w:val="005608F8"/>
    <w:rsid w:val="00562984"/>
    <w:rsid w:val="005655BC"/>
    <w:rsid w:val="00573776"/>
    <w:rsid w:val="005742FE"/>
    <w:rsid w:val="005755EA"/>
    <w:rsid w:val="005771B2"/>
    <w:rsid w:val="0057758A"/>
    <w:rsid w:val="0058008D"/>
    <w:rsid w:val="00580A4B"/>
    <w:rsid w:val="005834E9"/>
    <w:rsid w:val="0058670C"/>
    <w:rsid w:val="00586803"/>
    <w:rsid w:val="00586C71"/>
    <w:rsid w:val="00586F12"/>
    <w:rsid w:val="00592312"/>
    <w:rsid w:val="00592F7B"/>
    <w:rsid w:val="005946EE"/>
    <w:rsid w:val="0059522C"/>
    <w:rsid w:val="005952AF"/>
    <w:rsid w:val="00595653"/>
    <w:rsid w:val="005965DC"/>
    <w:rsid w:val="0059712B"/>
    <w:rsid w:val="005A12B0"/>
    <w:rsid w:val="005A2A80"/>
    <w:rsid w:val="005A2B59"/>
    <w:rsid w:val="005A3174"/>
    <w:rsid w:val="005A3233"/>
    <w:rsid w:val="005A3B7D"/>
    <w:rsid w:val="005A3EED"/>
    <w:rsid w:val="005A7C28"/>
    <w:rsid w:val="005B0F76"/>
    <w:rsid w:val="005B1AF0"/>
    <w:rsid w:val="005B34DC"/>
    <w:rsid w:val="005B3683"/>
    <w:rsid w:val="005B5913"/>
    <w:rsid w:val="005B6ADA"/>
    <w:rsid w:val="005B7EB3"/>
    <w:rsid w:val="005C0425"/>
    <w:rsid w:val="005C0F74"/>
    <w:rsid w:val="005C163A"/>
    <w:rsid w:val="005C3757"/>
    <w:rsid w:val="005D2DE5"/>
    <w:rsid w:val="005D34B3"/>
    <w:rsid w:val="005D55ED"/>
    <w:rsid w:val="005E0369"/>
    <w:rsid w:val="005E09C7"/>
    <w:rsid w:val="005E1258"/>
    <w:rsid w:val="005E1C49"/>
    <w:rsid w:val="005E219C"/>
    <w:rsid w:val="005E27D1"/>
    <w:rsid w:val="005E28A5"/>
    <w:rsid w:val="005E32FD"/>
    <w:rsid w:val="005E330A"/>
    <w:rsid w:val="005E3707"/>
    <w:rsid w:val="005E40E5"/>
    <w:rsid w:val="005E42FD"/>
    <w:rsid w:val="005E560B"/>
    <w:rsid w:val="005E78CA"/>
    <w:rsid w:val="005E7A23"/>
    <w:rsid w:val="005F04BB"/>
    <w:rsid w:val="005F1182"/>
    <w:rsid w:val="005F2771"/>
    <w:rsid w:val="005F2E93"/>
    <w:rsid w:val="005F3011"/>
    <w:rsid w:val="005F3981"/>
    <w:rsid w:val="005F65EB"/>
    <w:rsid w:val="005F6EFA"/>
    <w:rsid w:val="005F72F2"/>
    <w:rsid w:val="005F7610"/>
    <w:rsid w:val="005F7FE6"/>
    <w:rsid w:val="00601E4E"/>
    <w:rsid w:val="00602AFC"/>
    <w:rsid w:val="00602BC2"/>
    <w:rsid w:val="00603B31"/>
    <w:rsid w:val="00603F7E"/>
    <w:rsid w:val="00604ECA"/>
    <w:rsid w:val="00606D35"/>
    <w:rsid w:val="0060711F"/>
    <w:rsid w:val="00607929"/>
    <w:rsid w:val="00607CDC"/>
    <w:rsid w:val="006126BA"/>
    <w:rsid w:val="00613831"/>
    <w:rsid w:val="00613A02"/>
    <w:rsid w:val="00617F5C"/>
    <w:rsid w:val="00620016"/>
    <w:rsid w:val="00621072"/>
    <w:rsid w:val="00621CE8"/>
    <w:rsid w:val="006256EF"/>
    <w:rsid w:val="00625EE2"/>
    <w:rsid w:val="006274F3"/>
    <w:rsid w:val="00630A2D"/>
    <w:rsid w:val="00630A81"/>
    <w:rsid w:val="0063317F"/>
    <w:rsid w:val="00636424"/>
    <w:rsid w:val="0063690A"/>
    <w:rsid w:val="00640EA7"/>
    <w:rsid w:val="00640FE1"/>
    <w:rsid w:val="00643D3E"/>
    <w:rsid w:val="00644D9F"/>
    <w:rsid w:val="00645E57"/>
    <w:rsid w:val="0064633A"/>
    <w:rsid w:val="00646A36"/>
    <w:rsid w:val="00646B03"/>
    <w:rsid w:val="00647DBC"/>
    <w:rsid w:val="006501B5"/>
    <w:rsid w:val="00650592"/>
    <w:rsid w:val="0065132F"/>
    <w:rsid w:val="00651B53"/>
    <w:rsid w:val="00652A23"/>
    <w:rsid w:val="006539CF"/>
    <w:rsid w:val="00654885"/>
    <w:rsid w:val="00654EAC"/>
    <w:rsid w:val="00655264"/>
    <w:rsid w:val="00657CDA"/>
    <w:rsid w:val="00657E6F"/>
    <w:rsid w:val="006603BF"/>
    <w:rsid w:val="00660CE3"/>
    <w:rsid w:val="00662B8C"/>
    <w:rsid w:val="006631A7"/>
    <w:rsid w:val="00664338"/>
    <w:rsid w:val="00664893"/>
    <w:rsid w:val="00666CD5"/>
    <w:rsid w:val="00667B3C"/>
    <w:rsid w:val="006703FF"/>
    <w:rsid w:val="00670981"/>
    <w:rsid w:val="00671306"/>
    <w:rsid w:val="00671887"/>
    <w:rsid w:val="00672194"/>
    <w:rsid w:val="006721A8"/>
    <w:rsid w:val="0067391E"/>
    <w:rsid w:val="00673B13"/>
    <w:rsid w:val="0067410C"/>
    <w:rsid w:val="006754D0"/>
    <w:rsid w:val="00675E55"/>
    <w:rsid w:val="006764B7"/>
    <w:rsid w:val="00676A40"/>
    <w:rsid w:val="00676ACA"/>
    <w:rsid w:val="00676FA9"/>
    <w:rsid w:val="0067703F"/>
    <w:rsid w:val="006812CE"/>
    <w:rsid w:val="00684AF9"/>
    <w:rsid w:val="006860C6"/>
    <w:rsid w:val="006870A5"/>
    <w:rsid w:val="00687187"/>
    <w:rsid w:val="006901EC"/>
    <w:rsid w:val="0069113D"/>
    <w:rsid w:val="00692078"/>
    <w:rsid w:val="00692689"/>
    <w:rsid w:val="00693275"/>
    <w:rsid w:val="00694F05"/>
    <w:rsid w:val="0069512F"/>
    <w:rsid w:val="00695A8A"/>
    <w:rsid w:val="00695ADB"/>
    <w:rsid w:val="006962EC"/>
    <w:rsid w:val="00696540"/>
    <w:rsid w:val="0069737B"/>
    <w:rsid w:val="006A0605"/>
    <w:rsid w:val="006A2669"/>
    <w:rsid w:val="006A4596"/>
    <w:rsid w:val="006A45DA"/>
    <w:rsid w:val="006A48CE"/>
    <w:rsid w:val="006A4D24"/>
    <w:rsid w:val="006A4DC7"/>
    <w:rsid w:val="006A5C11"/>
    <w:rsid w:val="006A742E"/>
    <w:rsid w:val="006B0D4F"/>
    <w:rsid w:val="006B32C9"/>
    <w:rsid w:val="006B3646"/>
    <w:rsid w:val="006B4480"/>
    <w:rsid w:val="006B494E"/>
    <w:rsid w:val="006B5B4C"/>
    <w:rsid w:val="006B5FA9"/>
    <w:rsid w:val="006B608E"/>
    <w:rsid w:val="006C1AEB"/>
    <w:rsid w:val="006C1F6F"/>
    <w:rsid w:val="006C41CB"/>
    <w:rsid w:val="006C4306"/>
    <w:rsid w:val="006C48A9"/>
    <w:rsid w:val="006C6612"/>
    <w:rsid w:val="006C6968"/>
    <w:rsid w:val="006C6D03"/>
    <w:rsid w:val="006C776E"/>
    <w:rsid w:val="006D2170"/>
    <w:rsid w:val="006D2739"/>
    <w:rsid w:val="006D3336"/>
    <w:rsid w:val="006D33BC"/>
    <w:rsid w:val="006D545F"/>
    <w:rsid w:val="006D6CF4"/>
    <w:rsid w:val="006D7D93"/>
    <w:rsid w:val="006E07D5"/>
    <w:rsid w:val="006E1786"/>
    <w:rsid w:val="006E1A0F"/>
    <w:rsid w:val="006E2249"/>
    <w:rsid w:val="006E4AF2"/>
    <w:rsid w:val="006E5646"/>
    <w:rsid w:val="006E7D48"/>
    <w:rsid w:val="006F11A2"/>
    <w:rsid w:val="006F1342"/>
    <w:rsid w:val="006F26D7"/>
    <w:rsid w:val="006F28EB"/>
    <w:rsid w:val="006F2D0D"/>
    <w:rsid w:val="006F33F8"/>
    <w:rsid w:val="006F4D7E"/>
    <w:rsid w:val="006F6826"/>
    <w:rsid w:val="006F7CE1"/>
    <w:rsid w:val="006F7E19"/>
    <w:rsid w:val="0070114C"/>
    <w:rsid w:val="00701247"/>
    <w:rsid w:val="0070160D"/>
    <w:rsid w:val="0070321A"/>
    <w:rsid w:val="0070426B"/>
    <w:rsid w:val="00705452"/>
    <w:rsid w:val="0070638D"/>
    <w:rsid w:val="007065C1"/>
    <w:rsid w:val="007071C3"/>
    <w:rsid w:val="00707422"/>
    <w:rsid w:val="00710150"/>
    <w:rsid w:val="007101D6"/>
    <w:rsid w:val="0071238C"/>
    <w:rsid w:val="00712C2E"/>
    <w:rsid w:val="00713008"/>
    <w:rsid w:val="00714641"/>
    <w:rsid w:val="00715703"/>
    <w:rsid w:val="00715DFB"/>
    <w:rsid w:val="007168AE"/>
    <w:rsid w:val="007169ED"/>
    <w:rsid w:val="00722B4E"/>
    <w:rsid w:val="00722FE1"/>
    <w:rsid w:val="00723032"/>
    <w:rsid w:val="00726F17"/>
    <w:rsid w:val="007307C7"/>
    <w:rsid w:val="00730C77"/>
    <w:rsid w:val="0073281A"/>
    <w:rsid w:val="00733467"/>
    <w:rsid w:val="007341D3"/>
    <w:rsid w:val="0073508F"/>
    <w:rsid w:val="0073617B"/>
    <w:rsid w:val="0073714C"/>
    <w:rsid w:val="00742F06"/>
    <w:rsid w:val="00743A85"/>
    <w:rsid w:val="0074441C"/>
    <w:rsid w:val="007463FB"/>
    <w:rsid w:val="007472F6"/>
    <w:rsid w:val="007477F4"/>
    <w:rsid w:val="00747846"/>
    <w:rsid w:val="00750E09"/>
    <w:rsid w:val="00751EF5"/>
    <w:rsid w:val="00752B7B"/>
    <w:rsid w:val="00753250"/>
    <w:rsid w:val="00754BF8"/>
    <w:rsid w:val="0075545E"/>
    <w:rsid w:val="00755915"/>
    <w:rsid w:val="0075647D"/>
    <w:rsid w:val="007574FD"/>
    <w:rsid w:val="00757F29"/>
    <w:rsid w:val="00760185"/>
    <w:rsid w:val="00760A43"/>
    <w:rsid w:val="00762ACF"/>
    <w:rsid w:val="0076321B"/>
    <w:rsid w:val="00763F94"/>
    <w:rsid w:val="00766560"/>
    <w:rsid w:val="00767392"/>
    <w:rsid w:val="00767994"/>
    <w:rsid w:val="00767A19"/>
    <w:rsid w:val="007721D0"/>
    <w:rsid w:val="007728C5"/>
    <w:rsid w:val="0077319F"/>
    <w:rsid w:val="0077388E"/>
    <w:rsid w:val="00773F85"/>
    <w:rsid w:val="00775930"/>
    <w:rsid w:val="007759D5"/>
    <w:rsid w:val="0078076F"/>
    <w:rsid w:val="00781186"/>
    <w:rsid w:val="00784362"/>
    <w:rsid w:val="007848F2"/>
    <w:rsid w:val="00784D73"/>
    <w:rsid w:val="00785C7F"/>
    <w:rsid w:val="0078617D"/>
    <w:rsid w:val="0078672A"/>
    <w:rsid w:val="00786D98"/>
    <w:rsid w:val="0078708D"/>
    <w:rsid w:val="007870EF"/>
    <w:rsid w:val="0078731E"/>
    <w:rsid w:val="007877DA"/>
    <w:rsid w:val="00790184"/>
    <w:rsid w:val="00790A57"/>
    <w:rsid w:val="00791550"/>
    <w:rsid w:val="00791645"/>
    <w:rsid w:val="00794FB8"/>
    <w:rsid w:val="00795C18"/>
    <w:rsid w:val="00796FB8"/>
    <w:rsid w:val="007A084D"/>
    <w:rsid w:val="007A13B6"/>
    <w:rsid w:val="007A14D9"/>
    <w:rsid w:val="007A17D3"/>
    <w:rsid w:val="007A1B2A"/>
    <w:rsid w:val="007A33EA"/>
    <w:rsid w:val="007A402E"/>
    <w:rsid w:val="007A45B8"/>
    <w:rsid w:val="007A5EC4"/>
    <w:rsid w:val="007A70DD"/>
    <w:rsid w:val="007B14D3"/>
    <w:rsid w:val="007B3FC3"/>
    <w:rsid w:val="007B4EC9"/>
    <w:rsid w:val="007B5120"/>
    <w:rsid w:val="007B5301"/>
    <w:rsid w:val="007B6A4A"/>
    <w:rsid w:val="007B6C15"/>
    <w:rsid w:val="007B6CE7"/>
    <w:rsid w:val="007B6E12"/>
    <w:rsid w:val="007B6F2D"/>
    <w:rsid w:val="007C1AE4"/>
    <w:rsid w:val="007C24B7"/>
    <w:rsid w:val="007C2544"/>
    <w:rsid w:val="007C36EC"/>
    <w:rsid w:val="007C3FBE"/>
    <w:rsid w:val="007C4E06"/>
    <w:rsid w:val="007C5667"/>
    <w:rsid w:val="007C5F50"/>
    <w:rsid w:val="007C67BD"/>
    <w:rsid w:val="007C6ECD"/>
    <w:rsid w:val="007C73B7"/>
    <w:rsid w:val="007C7631"/>
    <w:rsid w:val="007D0864"/>
    <w:rsid w:val="007D0B78"/>
    <w:rsid w:val="007D0BF8"/>
    <w:rsid w:val="007D4EB8"/>
    <w:rsid w:val="007D7CE3"/>
    <w:rsid w:val="007E0715"/>
    <w:rsid w:val="007E2D7B"/>
    <w:rsid w:val="007E3154"/>
    <w:rsid w:val="007E48DD"/>
    <w:rsid w:val="007E51DB"/>
    <w:rsid w:val="007E613C"/>
    <w:rsid w:val="007E7376"/>
    <w:rsid w:val="007E7818"/>
    <w:rsid w:val="007E7AB6"/>
    <w:rsid w:val="007E7D09"/>
    <w:rsid w:val="007F1530"/>
    <w:rsid w:val="007F3154"/>
    <w:rsid w:val="007F3693"/>
    <w:rsid w:val="007F59B9"/>
    <w:rsid w:val="007F6C84"/>
    <w:rsid w:val="007F7636"/>
    <w:rsid w:val="007F7AA6"/>
    <w:rsid w:val="008003E2"/>
    <w:rsid w:val="00800FE8"/>
    <w:rsid w:val="00801778"/>
    <w:rsid w:val="008023A6"/>
    <w:rsid w:val="00802CCD"/>
    <w:rsid w:val="00802E05"/>
    <w:rsid w:val="00803231"/>
    <w:rsid w:val="008053BD"/>
    <w:rsid w:val="00805417"/>
    <w:rsid w:val="00807D1D"/>
    <w:rsid w:val="008100A9"/>
    <w:rsid w:val="00811784"/>
    <w:rsid w:val="0081217F"/>
    <w:rsid w:val="00812DA6"/>
    <w:rsid w:val="0081393A"/>
    <w:rsid w:val="00814FFB"/>
    <w:rsid w:val="0081525C"/>
    <w:rsid w:val="008154C5"/>
    <w:rsid w:val="0081563F"/>
    <w:rsid w:val="00817C33"/>
    <w:rsid w:val="00817D1D"/>
    <w:rsid w:val="00820F87"/>
    <w:rsid w:val="0082134C"/>
    <w:rsid w:val="00821E65"/>
    <w:rsid w:val="00822862"/>
    <w:rsid w:val="00824518"/>
    <w:rsid w:val="00824CC6"/>
    <w:rsid w:val="00824FCC"/>
    <w:rsid w:val="008256FD"/>
    <w:rsid w:val="00825AFC"/>
    <w:rsid w:val="00826C61"/>
    <w:rsid w:val="00826D0E"/>
    <w:rsid w:val="00830364"/>
    <w:rsid w:val="008308BF"/>
    <w:rsid w:val="008313E1"/>
    <w:rsid w:val="00834E83"/>
    <w:rsid w:val="00834E97"/>
    <w:rsid w:val="00834FDC"/>
    <w:rsid w:val="00835160"/>
    <w:rsid w:val="0083608E"/>
    <w:rsid w:val="00836155"/>
    <w:rsid w:val="00837188"/>
    <w:rsid w:val="00840ACD"/>
    <w:rsid w:val="00841435"/>
    <w:rsid w:val="0084439D"/>
    <w:rsid w:val="008448B5"/>
    <w:rsid w:val="00844A8B"/>
    <w:rsid w:val="00845516"/>
    <w:rsid w:val="008456BA"/>
    <w:rsid w:val="0084655C"/>
    <w:rsid w:val="00846718"/>
    <w:rsid w:val="008471AA"/>
    <w:rsid w:val="00847848"/>
    <w:rsid w:val="00850A1A"/>
    <w:rsid w:val="00850E31"/>
    <w:rsid w:val="008515F6"/>
    <w:rsid w:val="00854706"/>
    <w:rsid w:val="00854F17"/>
    <w:rsid w:val="0085523E"/>
    <w:rsid w:val="0085614C"/>
    <w:rsid w:val="008564DE"/>
    <w:rsid w:val="008565F1"/>
    <w:rsid w:val="0086030A"/>
    <w:rsid w:val="008603ED"/>
    <w:rsid w:val="00860424"/>
    <w:rsid w:val="008623EA"/>
    <w:rsid w:val="00862FA0"/>
    <w:rsid w:val="00863287"/>
    <w:rsid w:val="0086474A"/>
    <w:rsid w:val="00866AA2"/>
    <w:rsid w:val="00870013"/>
    <w:rsid w:val="0087477D"/>
    <w:rsid w:val="00874928"/>
    <w:rsid w:val="00874F70"/>
    <w:rsid w:val="0087514D"/>
    <w:rsid w:val="0087603C"/>
    <w:rsid w:val="008770BC"/>
    <w:rsid w:val="00880D20"/>
    <w:rsid w:val="00880DD2"/>
    <w:rsid w:val="00881203"/>
    <w:rsid w:val="00881E28"/>
    <w:rsid w:val="00882677"/>
    <w:rsid w:val="00882DDB"/>
    <w:rsid w:val="00884631"/>
    <w:rsid w:val="008846CD"/>
    <w:rsid w:val="0088546A"/>
    <w:rsid w:val="00885E6E"/>
    <w:rsid w:val="00886EBC"/>
    <w:rsid w:val="0088725C"/>
    <w:rsid w:val="00887374"/>
    <w:rsid w:val="00890FD4"/>
    <w:rsid w:val="00891D03"/>
    <w:rsid w:val="00891D4D"/>
    <w:rsid w:val="00892835"/>
    <w:rsid w:val="00892FCD"/>
    <w:rsid w:val="00894EEF"/>
    <w:rsid w:val="008A0D33"/>
    <w:rsid w:val="008A2622"/>
    <w:rsid w:val="008A2920"/>
    <w:rsid w:val="008A3258"/>
    <w:rsid w:val="008A3550"/>
    <w:rsid w:val="008A39AA"/>
    <w:rsid w:val="008A4EDF"/>
    <w:rsid w:val="008A66A9"/>
    <w:rsid w:val="008A7B94"/>
    <w:rsid w:val="008B03D3"/>
    <w:rsid w:val="008B0641"/>
    <w:rsid w:val="008B1611"/>
    <w:rsid w:val="008B3BE7"/>
    <w:rsid w:val="008B454F"/>
    <w:rsid w:val="008B4BEB"/>
    <w:rsid w:val="008B62D0"/>
    <w:rsid w:val="008B6360"/>
    <w:rsid w:val="008B6668"/>
    <w:rsid w:val="008B776E"/>
    <w:rsid w:val="008C043B"/>
    <w:rsid w:val="008C0686"/>
    <w:rsid w:val="008C0693"/>
    <w:rsid w:val="008C1437"/>
    <w:rsid w:val="008C174C"/>
    <w:rsid w:val="008C1E60"/>
    <w:rsid w:val="008C38D3"/>
    <w:rsid w:val="008C5CC7"/>
    <w:rsid w:val="008C714F"/>
    <w:rsid w:val="008C753B"/>
    <w:rsid w:val="008D14A5"/>
    <w:rsid w:val="008D1D2E"/>
    <w:rsid w:val="008D2C5D"/>
    <w:rsid w:val="008D3B7D"/>
    <w:rsid w:val="008D3E8A"/>
    <w:rsid w:val="008D4351"/>
    <w:rsid w:val="008D6368"/>
    <w:rsid w:val="008D7F18"/>
    <w:rsid w:val="008E26F4"/>
    <w:rsid w:val="008E28C6"/>
    <w:rsid w:val="008E3746"/>
    <w:rsid w:val="008E4FE5"/>
    <w:rsid w:val="008E5FE2"/>
    <w:rsid w:val="008E6BE6"/>
    <w:rsid w:val="008E7968"/>
    <w:rsid w:val="008E7A49"/>
    <w:rsid w:val="008F0BD1"/>
    <w:rsid w:val="008F2279"/>
    <w:rsid w:val="008F24B2"/>
    <w:rsid w:val="008F2E35"/>
    <w:rsid w:val="008F2FC8"/>
    <w:rsid w:val="008F3040"/>
    <w:rsid w:val="008F3286"/>
    <w:rsid w:val="008F47CB"/>
    <w:rsid w:val="008F4ECC"/>
    <w:rsid w:val="008F585D"/>
    <w:rsid w:val="008F657D"/>
    <w:rsid w:val="008F6B7A"/>
    <w:rsid w:val="00901075"/>
    <w:rsid w:val="00901200"/>
    <w:rsid w:val="009016C9"/>
    <w:rsid w:val="00902925"/>
    <w:rsid w:val="00902927"/>
    <w:rsid w:val="00902B34"/>
    <w:rsid w:val="009031D4"/>
    <w:rsid w:val="00903D3F"/>
    <w:rsid w:val="00904EE0"/>
    <w:rsid w:val="00904F14"/>
    <w:rsid w:val="00905488"/>
    <w:rsid w:val="009071C8"/>
    <w:rsid w:val="009124C3"/>
    <w:rsid w:val="00912969"/>
    <w:rsid w:val="009132A9"/>
    <w:rsid w:val="009133C7"/>
    <w:rsid w:val="00914066"/>
    <w:rsid w:val="0091578F"/>
    <w:rsid w:val="0091597F"/>
    <w:rsid w:val="009207D9"/>
    <w:rsid w:val="00920BE9"/>
    <w:rsid w:val="0092209C"/>
    <w:rsid w:val="00922B30"/>
    <w:rsid w:val="0092504B"/>
    <w:rsid w:val="00925A24"/>
    <w:rsid w:val="00926903"/>
    <w:rsid w:val="00927F6D"/>
    <w:rsid w:val="00927F78"/>
    <w:rsid w:val="009313A2"/>
    <w:rsid w:val="00931BE6"/>
    <w:rsid w:val="00932ED1"/>
    <w:rsid w:val="00933348"/>
    <w:rsid w:val="00933553"/>
    <w:rsid w:val="00933B89"/>
    <w:rsid w:val="00934499"/>
    <w:rsid w:val="009355C2"/>
    <w:rsid w:val="00936629"/>
    <w:rsid w:val="00937345"/>
    <w:rsid w:val="009379A6"/>
    <w:rsid w:val="00940ACB"/>
    <w:rsid w:val="0094148C"/>
    <w:rsid w:val="009421F2"/>
    <w:rsid w:val="009434BC"/>
    <w:rsid w:val="0094397E"/>
    <w:rsid w:val="009441A1"/>
    <w:rsid w:val="00945B83"/>
    <w:rsid w:val="00946E26"/>
    <w:rsid w:val="00947525"/>
    <w:rsid w:val="00947621"/>
    <w:rsid w:val="00947846"/>
    <w:rsid w:val="00947A13"/>
    <w:rsid w:val="00947D83"/>
    <w:rsid w:val="00947DDF"/>
    <w:rsid w:val="00950060"/>
    <w:rsid w:val="00950536"/>
    <w:rsid w:val="0095053A"/>
    <w:rsid w:val="009505B6"/>
    <w:rsid w:val="00950FB5"/>
    <w:rsid w:val="00952E84"/>
    <w:rsid w:val="0095323B"/>
    <w:rsid w:val="00953555"/>
    <w:rsid w:val="00953594"/>
    <w:rsid w:val="00953C3C"/>
    <w:rsid w:val="00953ED4"/>
    <w:rsid w:val="009562C4"/>
    <w:rsid w:val="00956658"/>
    <w:rsid w:val="009569DA"/>
    <w:rsid w:val="00957541"/>
    <w:rsid w:val="00961696"/>
    <w:rsid w:val="0096302B"/>
    <w:rsid w:val="009639F0"/>
    <w:rsid w:val="00965859"/>
    <w:rsid w:val="00966F86"/>
    <w:rsid w:val="00966FCA"/>
    <w:rsid w:val="00967961"/>
    <w:rsid w:val="009679FA"/>
    <w:rsid w:val="00970B75"/>
    <w:rsid w:val="00974423"/>
    <w:rsid w:val="0097468E"/>
    <w:rsid w:val="00974982"/>
    <w:rsid w:val="00977BC9"/>
    <w:rsid w:val="009804E9"/>
    <w:rsid w:val="00982628"/>
    <w:rsid w:val="00984670"/>
    <w:rsid w:val="00984713"/>
    <w:rsid w:val="00984FCC"/>
    <w:rsid w:val="00985CFA"/>
    <w:rsid w:val="00985EFC"/>
    <w:rsid w:val="00987679"/>
    <w:rsid w:val="009900E4"/>
    <w:rsid w:val="009936FB"/>
    <w:rsid w:val="00993A73"/>
    <w:rsid w:val="009942F7"/>
    <w:rsid w:val="0099534F"/>
    <w:rsid w:val="009A0E66"/>
    <w:rsid w:val="009A1F05"/>
    <w:rsid w:val="009A26A2"/>
    <w:rsid w:val="009A2EF8"/>
    <w:rsid w:val="009A31CE"/>
    <w:rsid w:val="009A56AD"/>
    <w:rsid w:val="009A7A81"/>
    <w:rsid w:val="009B4478"/>
    <w:rsid w:val="009B470C"/>
    <w:rsid w:val="009B47D8"/>
    <w:rsid w:val="009B73F2"/>
    <w:rsid w:val="009B79D9"/>
    <w:rsid w:val="009C1EA4"/>
    <w:rsid w:val="009C1F68"/>
    <w:rsid w:val="009C241C"/>
    <w:rsid w:val="009C35DD"/>
    <w:rsid w:val="009C3617"/>
    <w:rsid w:val="009C3962"/>
    <w:rsid w:val="009C423B"/>
    <w:rsid w:val="009C4562"/>
    <w:rsid w:val="009C4E24"/>
    <w:rsid w:val="009C57E9"/>
    <w:rsid w:val="009C5ABC"/>
    <w:rsid w:val="009C6A55"/>
    <w:rsid w:val="009C6F8B"/>
    <w:rsid w:val="009C7531"/>
    <w:rsid w:val="009C7DBA"/>
    <w:rsid w:val="009D2EDB"/>
    <w:rsid w:val="009D412F"/>
    <w:rsid w:val="009D50CD"/>
    <w:rsid w:val="009D56B0"/>
    <w:rsid w:val="009D5E4A"/>
    <w:rsid w:val="009D6880"/>
    <w:rsid w:val="009D7F9F"/>
    <w:rsid w:val="009E1034"/>
    <w:rsid w:val="009E13D7"/>
    <w:rsid w:val="009E349F"/>
    <w:rsid w:val="009E38DE"/>
    <w:rsid w:val="009E427B"/>
    <w:rsid w:val="009E5617"/>
    <w:rsid w:val="009E579D"/>
    <w:rsid w:val="009E5EA1"/>
    <w:rsid w:val="009E65CB"/>
    <w:rsid w:val="009E73A1"/>
    <w:rsid w:val="009F0C0F"/>
    <w:rsid w:val="009F154A"/>
    <w:rsid w:val="009F224F"/>
    <w:rsid w:val="009F4A85"/>
    <w:rsid w:val="009F71F9"/>
    <w:rsid w:val="009F735D"/>
    <w:rsid w:val="009F7604"/>
    <w:rsid w:val="009F7806"/>
    <w:rsid w:val="00A02966"/>
    <w:rsid w:val="00A02BF2"/>
    <w:rsid w:val="00A03700"/>
    <w:rsid w:val="00A04F7D"/>
    <w:rsid w:val="00A052AB"/>
    <w:rsid w:val="00A0559E"/>
    <w:rsid w:val="00A06767"/>
    <w:rsid w:val="00A06FF9"/>
    <w:rsid w:val="00A0700B"/>
    <w:rsid w:val="00A10E56"/>
    <w:rsid w:val="00A128ED"/>
    <w:rsid w:val="00A13411"/>
    <w:rsid w:val="00A1721E"/>
    <w:rsid w:val="00A2012D"/>
    <w:rsid w:val="00A20580"/>
    <w:rsid w:val="00A205D7"/>
    <w:rsid w:val="00A20E12"/>
    <w:rsid w:val="00A20F0F"/>
    <w:rsid w:val="00A23CD5"/>
    <w:rsid w:val="00A24D86"/>
    <w:rsid w:val="00A278C3"/>
    <w:rsid w:val="00A309A9"/>
    <w:rsid w:val="00A314DA"/>
    <w:rsid w:val="00A31E19"/>
    <w:rsid w:val="00A33083"/>
    <w:rsid w:val="00A333E5"/>
    <w:rsid w:val="00A34169"/>
    <w:rsid w:val="00A343EB"/>
    <w:rsid w:val="00A346B4"/>
    <w:rsid w:val="00A36603"/>
    <w:rsid w:val="00A37E77"/>
    <w:rsid w:val="00A40881"/>
    <w:rsid w:val="00A4091E"/>
    <w:rsid w:val="00A42F18"/>
    <w:rsid w:val="00A43175"/>
    <w:rsid w:val="00A476D0"/>
    <w:rsid w:val="00A511FA"/>
    <w:rsid w:val="00A51214"/>
    <w:rsid w:val="00A52F76"/>
    <w:rsid w:val="00A54D26"/>
    <w:rsid w:val="00A55D58"/>
    <w:rsid w:val="00A565F2"/>
    <w:rsid w:val="00A601D3"/>
    <w:rsid w:val="00A60999"/>
    <w:rsid w:val="00A60CFE"/>
    <w:rsid w:val="00A620DA"/>
    <w:rsid w:val="00A63479"/>
    <w:rsid w:val="00A63E3C"/>
    <w:rsid w:val="00A64516"/>
    <w:rsid w:val="00A64E2D"/>
    <w:rsid w:val="00A657AD"/>
    <w:rsid w:val="00A65803"/>
    <w:rsid w:val="00A65C9B"/>
    <w:rsid w:val="00A67E9A"/>
    <w:rsid w:val="00A7102E"/>
    <w:rsid w:val="00A72276"/>
    <w:rsid w:val="00A730FA"/>
    <w:rsid w:val="00A73690"/>
    <w:rsid w:val="00A74AA3"/>
    <w:rsid w:val="00A76981"/>
    <w:rsid w:val="00A779CA"/>
    <w:rsid w:val="00A77A6F"/>
    <w:rsid w:val="00A77D2E"/>
    <w:rsid w:val="00A80532"/>
    <w:rsid w:val="00A80799"/>
    <w:rsid w:val="00A80B0D"/>
    <w:rsid w:val="00A80F5B"/>
    <w:rsid w:val="00A817F4"/>
    <w:rsid w:val="00A849E7"/>
    <w:rsid w:val="00A84BF6"/>
    <w:rsid w:val="00A84EF6"/>
    <w:rsid w:val="00A85523"/>
    <w:rsid w:val="00A86063"/>
    <w:rsid w:val="00A908F0"/>
    <w:rsid w:val="00A911CA"/>
    <w:rsid w:val="00A91ECD"/>
    <w:rsid w:val="00A92286"/>
    <w:rsid w:val="00A937A5"/>
    <w:rsid w:val="00A93B9F"/>
    <w:rsid w:val="00A93E0B"/>
    <w:rsid w:val="00A94108"/>
    <w:rsid w:val="00A944ED"/>
    <w:rsid w:val="00A96FA2"/>
    <w:rsid w:val="00AA0417"/>
    <w:rsid w:val="00AA1436"/>
    <w:rsid w:val="00AA27C7"/>
    <w:rsid w:val="00AA36EA"/>
    <w:rsid w:val="00AA44A2"/>
    <w:rsid w:val="00AA5B6A"/>
    <w:rsid w:val="00AA5ECA"/>
    <w:rsid w:val="00AA72BF"/>
    <w:rsid w:val="00AA72D3"/>
    <w:rsid w:val="00AB0E67"/>
    <w:rsid w:val="00AB35B6"/>
    <w:rsid w:val="00AB385D"/>
    <w:rsid w:val="00AB4E2D"/>
    <w:rsid w:val="00AB5540"/>
    <w:rsid w:val="00AB5739"/>
    <w:rsid w:val="00AB685C"/>
    <w:rsid w:val="00AB766A"/>
    <w:rsid w:val="00AC0667"/>
    <w:rsid w:val="00AC0860"/>
    <w:rsid w:val="00AC0E6F"/>
    <w:rsid w:val="00AC19B0"/>
    <w:rsid w:val="00AC2CCD"/>
    <w:rsid w:val="00AC421A"/>
    <w:rsid w:val="00AC587F"/>
    <w:rsid w:val="00AC5CFA"/>
    <w:rsid w:val="00AC61CD"/>
    <w:rsid w:val="00AC62B1"/>
    <w:rsid w:val="00AC6AA4"/>
    <w:rsid w:val="00AC7C25"/>
    <w:rsid w:val="00AD0161"/>
    <w:rsid w:val="00AD0988"/>
    <w:rsid w:val="00AD0BE0"/>
    <w:rsid w:val="00AD1DD4"/>
    <w:rsid w:val="00AD3465"/>
    <w:rsid w:val="00AD58E9"/>
    <w:rsid w:val="00AD5A81"/>
    <w:rsid w:val="00AD6061"/>
    <w:rsid w:val="00AD6297"/>
    <w:rsid w:val="00AD6745"/>
    <w:rsid w:val="00AD6F08"/>
    <w:rsid w:val="00AE083D"/>
    <w:rsid w:val="00AE0EC1"/>
    <w:rsid w:val="00AE1354"/>
    <w:rsid w:val="00AE3FCF"/>
    <w:rsid w:val="00AE5076"/>
    <w:rsid w:val="00AE604A"/>
    <w:rsid w:val="00AE6528"/>
    <w:rsid w:val="00AE69DF"/>
    <w:rsid w:val="00AE74D1"/>
    <w:rsid w:val="00AE74D6"/>
    <w:rsid w:val="00AE7DB8"/>
    <w:rsid w:val="00AF02B1"/>
    <w:rsid w:val="00AF090C"/>
    <w:rsid w:val="00AF1FA0"/>
    <w:rsid w:val="00AF2827"/>
    <w:rsid w:val="00AF29C2"/>
    <w:rsid w:val="00AF342F"/>
    <w:rsid w:val="00AF4851"/>
    <w:rsid w:val="00AF5987"/>
    <w:rsid w:val="00AF5D37"/>
    <w:rsid w:val="00AF5FDE"/>
    <w:rsid w:val="00AF6129"/>
    <w:rsid w:val="00AF69B2"/>
    <w:rsid w:val="00AF6E8B"/>
    <w:rsid w:val="00AF71B7"/>
    <w:rsid w:val="00AF7323"/>
    <w:rsid w:val="00AF7E30"/>
    <w:rsid w:val="00B00E46"/>
    <w:rsid w:val="00B0461E"/>
    <w:rsid w:val="00B04968"/>
    <w:rsid w:val="00B04F20"/>
    <w:rsid w:val="00B10592"/>
    <w:rsid w:val="00B132CF"/>
    <w:rsid w:val="00B13FB3"/>
    <w:rsid w:val="00B14602"/>
    <w:rsid w:val="00B1621D"/>
    <w:rsid w:val="00B16895"/>
    <w:rsid w:val="00B16DAE"/>
    <w:rsid w:val="00B17128"/>
    <w:rsid w:val="00B1714A"/>
    <w:rsid w:val="00B1788E"/>
    <w:rsid w:val="00B207F9"/>
    <w:rsid w:val="00B20D04"/>
    <w:rsid w:val="00B24B14"/>
    <w:rsid w:val="00B2588B"/>
    <w:rsid w:val="00B26216"/>
    <w:rsid w:val="00B277F3"/>
    <w:rsid w:val="00B2790D"/>
    <w:rsid w:val="00B32565"/>
    <w:rsid w:val="00B32D1B"/>
    <w:rsid w:val="00B332BE"/>
    <w:rsid w:val="00B337F3"/>
    <w:rsid w:val="00B34925"/>
    <w:rsid w:val="00B35575"/>
    <w:rsid w:val="00B35889"/>
    <w:rsid w:val="00B36179"/>
    <w:rsid w:val="00B36539"/>
    <w:rsid w:val="00B40804"/>
    <w:rsid w:val="00B418BC"/>
    <w:rsid w:val="00B4201D"/>
    <w:rsid w:val="00B42E09"/>
    <w:rsid w:val="00B43A42"/>
    <w:rsid w:val="00B44A0C"/>
    <w:rsid w:val="00B44E4D"/>
    <w:rsid w:val="00B45E1B"/>
    <w:rsid w:val="00B46AA3"/>
    <w:rsid w:val="00B507EE"/>
    <w:rsid w:val="00B5109A"/>
    <w:rsid w:val="00B51963"/>
    <w:rsid w:val="00B51D33"/>
    <w:rsid w:val="00B52C0B"/>
    <w:rsid w:val="00B533E6"/>
    <w:rsid w:val="00B53CC1"/>
    <w:rsid w:val="00B5466F"/>
    <w:rsid w:val="00B556FD"/>
    <w:rsid w:val="00B5632F"/>
    <w:rsid w:val="00B601AE"/>
    <w:rsid w:val="00B60579"/>
    <w:rsid w:val="00B612AD"/>
    <w:rsid w:val="00B62BE8"/>
    <w:rsid w:val="00B64000"/>
    <w:rsid w:val="00B642AD"/>
    <w:rsid w:val="00B65E4B"/>
    <w:rsid w:val="00B67606"/>
    <w:rsid w:val="00B67A85"/>
    <w:rsid w:val="00B70343"/>
    <w:rsid w:val="00B708FB"/>
    <w:rsid w:val="00B71A79"/>
    <w:rsid w:val="00B72C65"/>
    <w:rsid w:val="00B736B8"/>
    <w:rsid w:val="00B7502A"/>
    <w:rsid w:val="00B768A5"/>
    <w:rsid w:val="00B77545"/>
    <w:rsid w:val="00B815B0"/>
    <w:rsid w:val="00B816F2"/>
    <w:rsid w:val="00B81B98"/>
    <w:rsid w:val="00B8239A"/>
    <w:rsid w:val="00B8264A"/>
    <w:rsid w:val="00B82B2D"/>
    <w:rsid w:val="00B82E69"/>
    <w:rsid w:val="00B83D70"/>
    <w:rsid w:val="00B854AF"/>
    <w:rsid w:val="00B86A4A"/>
    <w:rsid w:val="00B8746A"/>
    <w:rsid w:val="00B87D0A"/>
    <w:rsid w:val="00B904E8"/>
    <w:rsid w:val="00B90BDB"/>
    <w:rsid w:val="00B910F8"/>
    <w:rsid w:val="00B9118D"/>
    <w:rsid w:val="00B9214A"/>
    <w:rsid w:val="00B92378"/>
    <w:rsid w:val="00B92463"/>
    <w:rsid w:val="00B9294D"/>
    <w:rsid w:val="00B92C61"/>
    <w:rsid w:val="00B93465"/>
    <w:rsid w:val="00B93C77"/>
    <w:rsid w:val="00B952C9"/>
    <w:rsid w:val="00B95E47"/>
    <w:rsid w:val="00B9786D"/>
    <w:rsid w:val="00B97980"/>
    <w:rsid w:val="00BA3663"/>
    <w:rsid w:val="00BA4A8E"/>
    <w:rsid w:val="00BA6041"/>
    <w:rsid w:val="00BA7D44"/>
    <w:rsid w:val="00BA7D86"/>
    <w:rsid w:val="00BB0DC1"/>
    <w:rsid w:val="00BB24F7"/>
    <w:rsid w:val="00BB3A8B"/>
    <w:rsid w:val="00BB4236"/>
    <w:rsid w:val="00BB471C"/>
    <w:rsid w:val="00BB5675"/>
    <w:rsid w:val="00BB5D02"/>
    <w:rsid w:val="00BB73F1"/>
    <w:rsid w:val="00BC0E87"/>
    <w:rsid w:val="00BC4311"/>
    <w:rsid w:val="00BC5047"/>
    <w:rsid w:val="00BC5A07"/>
    <w:rsid w:val="00BC5D9C"/>
    <w:rsid w:val="00BC5E03"/>
    <w:rsid w:val="00BC6534"/>
    <w:rsid w:val="00BC79D5"/>
    <w:rsid w:val="00BC7F3F"/>
    <w:rsid w:val="00BD0E78"/>
    <w:rsid w:val="00BD1BE3"/>
    <w:rsid w:val="00BD32D1"/>
    <w:rsid w:val="00BD3E52"/>
    <w:rsid w:val="00BD48ED"/>
    <w:rsid w:val="00BD5437"/>
    <w:rsid w:val="00BD5A43"/>
    <w:rsid w:val="00BD74E1"/>
    <w:rsid w:val="00BE077B"/>
    <w:rsid w:val="00BE0C09"/>
    <w:rsid w:val="00BE14A8"/>
    <w:rsid w:val="00BE1BAD"/>
    <w:rsid w:val="00BE1D84"/>
    <w:rsid w:val="00BE2BF0"/>
    <w:rsid w:val="00BE2C9E"/>
    <w:rsid w:val="00BE35A5"/>
    <w:rsid w:val="00BE4625"/>
    <w:rsid w:val="00BE5E8F"/>
    <w:rsid w:val="00BE5F16"/>
    <w:rsid w:val="00BE6388"/>
    <w:rsid w:val="00BE6A74"/>
    <w:rsid w:val="00BE6FFF"/>
    <w:rsid w:val="00BF064E"/>
    <w:rsid w:val="00BF12FC"/>
    <w:rsid w:val="00BF1D98"/>
    <w:rsid w:val="00BF5544"/>
    <w:rsid w:val="00BF57E2"/>
    <w:rsid w:val="00BF5EFA"/>
    <w:rsid w:val="00BF7871"/>
    <w:rsid w:val="00BF7B11"/>
    <w:rsid w:val="00C005E2"/>
    <w:rsid w:val="00C00C22"/>
    <w:rsid w:val="00C039A6"/>
    <w:rsid w:val="00C0403D"/>
    <w:rsid w:val="00C06D1A"/>
    <w:rsid w:val="00C07DA2"/>
    <w:rsid w:val="00C10548"/>
    <w:rsid w:val="00C10677"/>
    <w:rsid w:val="00C10DF5"/>
    <w:rsid w:val="00C12AAE"/>
    <w:rsid w:val="00C12E29"/>
    <w:rsid w:val="00C14E99"/>
    <w:rsid w:val="00C170DE"/>
    <w:rsid w:val="00C20136"/>
    <w:rsid w:val="00C22019"/>
    <w:rsid w:val="00C22D52"/>
    <w:rsid w:val="00C22E10"/>
    <w:rsid w:val="00C23C3F"/>
    <w:rsid w:val="00C254F1"/>
    <w:rsid w:val="00C25976"/>
    <w:rsid w:val="00C2663F"/>
    <w:rsid w:val="00C26990"/>
    <w:rsid w:val="00C26C74"/>
    <w:rsid w:val="00C30C0A"/>
    <w:rsid w:val="00C30F96"/>
    <w:rsid w:val="00C31C10"/>
    <w:rsid w:val="00C334DC"/>
    <w:rsid w:val="00C33B44"/>
    <w:rsid w:val="00C36247"/>
    <w:rsid w:val="00C42E2F"/>
    <w:rsid w:val="00C445B9"/>
    <w:rsid w:val="00C46381"/>
    <w:rsid w:val="00C472B5"/>
    <w:rsid w:val="00C47509"/>
    <w:rsid w:val="00C4791D"/>
    <w:rsid w:val="00C50D66"/>
    <w:rsid w:val="00C516E3"/>
    <w:rsid w:val="00C52DFD"/>
    <w:rsid w:val="00C53678"/>
    <w:rsid w:val="00C5372C"/>
    <w:rsid w:val="00C54509"/>
    <w:rsid w:val="00C56879"/>
    <w:rsid w:val="00C60DDF"/>
    <w:rsid w:val="00C61141"/>
    <w:rsid w:val="00C61445"/>
    <w:rsid w:val="00C61B6A"/>
    <w:rsid w:val="00C635B1"/>
    <w:rsid w:val="00C65402"/>
    <w:rsid w:val="00C70F6B"/>
    <w:rsid w:val="00C71945"/>
    <w:rsid w:val="00C723CA"/>
    <w:rsid w:val="00C729C0"/>
    <w:rsid w:val="00C72FF9"/>
    <w:rsid w:val="00C73BC8"/>
    <w:rsid w:val="00C74271"/>
    <w:rsid w:val="00C759A1"/>
    <w:rsid w:val="00C76340"/>
    <w:rsid w:val="00C765A2"/>
    <w:rsid w:val="00C76D2A"/>
    <w:rsid w:val="00C77AF4"/>
    <w:rsid w:val="00C8015B"/>
    <w:rsid w:val="00C84B50"/>
    <w:rsid w:val="00C85390"/>
    <w:rsid w:val="00C855EC"/>
    <w:rsid w:val="00C86674"/>
    <w:rsid w:val="00C86CA8"/>
    <w:rsid w:val="00C9117F"/>
    <w:rsid w:val="00C9265F"/>
    <w:rsid w:val="00C92F4D"/>
    <w:rsid w:val="00C93A77"/>
    <w:rsid w:val="00C95396"/>
    <w:rsid w:val="00C96365"/>
    <w:rsid w:val="00C97A51"/>
    <w:rsid w:val="00CA0F03"/>
    <w:rsid w:val="00CA1007"/>
    <w:rsid w:val="00CA1525"/>
    <w:rsid w:val="00CA15E4"/>
    <w:rsid w:val="00CA168D"/>
    <w:rsid w:val="00CA4DC5"/>
    <w:rsid w:val="00CA571D"/>
    <w:rsid w:val="00CA6226"/>
    <w:rsid w:val="00CA6A99"/>
    <w:rsid w:val="00CA7E14"/>
    <w:rsid w:val="00CB01F0"/>
    <w:rsid w:val="00CB0B60"/>
    <w:rsid w:val="00CB1BA5"/>
    <w:rsid w:val="00CB454C"/>
    <w:rsid w:val="00CB4EF7"/>
    <w:rsid w:val="00CB5938"/>
    <w:rsid w:val="00CC0D2A"/>
    <w:rsid w:val="00CC0F3F"/>
    <w:rsid w:val="00CC1A59"/>
    <w:rsid w:val="00CC2BA6"/>
    <w:rsid w:val="00CC3A53"/>
    <w:rsid w:val="00CC3E20"/>
    <w:rsid w:val="00CC4BF3"/>
    <w:rsid w:val="00CC4D12"/>
    <w:rsid w:val="00CC5A31"/>
    <w:rsid w:val="00CC66CC"/>
    <w:rsid w:val="00CC750B"/>
    <w:rsid w:val="00CD0BC9"/>
    <w:rsid w:val="00CD13FC"/>
    <w:rsid w:val="00CD16C2"/>
    <w:rsid w:val="00CD1BD0"/>
    <w:rsid w:val="00CD24EA"/>
    <w:rsid w:val="00CD2571"/>
    <w:rsid w:val="00CD28B0"/>
    <w:rsid w:val="00CD2BA1"/>
    <w:rsid w:val="00CD319B"/>
    <w:rsid w:val="00CD3FF3"/>
    <w:rsid w:val="00CD54B8"/>
    <w:rsid w:val="00CD58AB"/>
    <w:rsid w:val="00CD788A"/>
    <w:rsid w:val="00CE0529"/>
    <w:rsid w:val="00CE12A2"/>
    <w:rsid w:val="00CE22E0"/>
    <w:rsid w:val="00CE2A10"/>
    <w:rsid w:val="00CE3BE8"/>
    <w:rsid w:val="00CE47E6"/>
    <w:rsid w:val="00CE4870"/>
    <w:rsid w:val="00CE4F29"/>
    <w:rsid w:val="00CE5073"/>
    <w:rsid w:val="00CE5550"/>
    <w:rsid w:val="00CE5890"/>
    <w:rsid w:val="00CE59DB"/>
    <w:rsid w:val="00CE5D2C"/>
    <w:rsid w:val="00CE6869"/>
    <w:rsid w:val="00CE6C45"/>
    <w:rsid w:val="00CE6F62"/>
    <w:rsid w:val="00CF1051"/>
    <w:rsid w:val="00CF43DF"/>
    <w:rsid w:val="00CF5AC0"/>
    <w:rsid w:val="00CF6B28"/>
    <w:rsid w:val="00CF6D53"/>
    <w:rsid w:val="00D02325"/>
    <w:rsid w:val="00D04046"/>
    <w:rsid w:val="00D06FAB"/>
    <w:rsid w:val="00D074BB"/>
    <w:rsid w:val="00D10093"/>
    <w:rsid w:val="00D1010F"/>
    <w:rsid w:val="00D10851"/>
    <w:rsid w:val="00D10D35"/>
    <w:rsid w:val="00D12A00"/>
    <w:rsid w:val="00D1315A"/>
    <w:rsid w:val="00D132D7"/>
    <w:rsid w:val="00D13D12"/>
    <w:rsid w:val="00D14368"/>
    <w:rsid w:val="00D14C00"/>
    <w:rsid w:val="00D15CD9"/>
    <w:rsid w:val="00D168A0"/>
    <w:rsid w:val="00D16C7C"/>
    <w:rsid w:val="00D17661"/>
    <w:rsid w:val="00D209C1"/>
    <w:rsid w:val="00D20A79"/>
    <w:rsid w:val="00D20C0A"/>
    <w:rsid w:val="00D20C14"/>
    <w:rsid w:val="00D216D8"/>
    <w:rsid w:val="00D21805"/>
    <w:rsid w:val="00D23A45"/>
    <w:rsid w:val="00D24BD0"/>
    <w:rsid w:val="00D25281"/>
    <w:rsid w:val="00D25D44"/>
    <w:rsid w:val="00D26942"/>
    <w:rsid w:val="00D26E09"/>
    <w:rsid w:val="00D31B91"/>
    <w:rsid w:val="00D337E9"/>
    <w:rsid w:val="00D33CF2"/>
    <w:rsid w:val="00D34F86"/>
    <w:rsid w:val="00D35131"/>
    <w:rsid w:val="00D35FED"/>
    <w:rsid w:val="00D37D99"/>
    <w:rsid w:val="00D411A5"/>
    <w:rsid w:val="00D411EF"/>
    <w:rsid w:val="00D43D09"/>
    <w:rsid w:val="00D45C56"/>
    <w:rsid w:val="00D4627E"/>
    <w:rsid w:val="00D51EB2"/>
    <w:rsid w:val="00D55F16"/>
    <w:rsid w:val="00D56132"/>
    <w:rsid w:val="00D562A4"/>
    <w:rsid w:val="00D56B20"/>
    <w:rsid w:val="00D572B6"/>
    <w:rsid w:val="00D57506"/>
    <w:rsid w:val="00D577B7"/>
    <w:rsid w:val="00D57E7F"/>
    <w:rsid w:val="00D614EF"/>
    <w:rsid w:val="00D62D4C"/>
    <w:rsid w:val="00D667D5"/>
    <w:rsid w:val="00D66DCA"/>
    <w:rsid w:val="00D67E2C"/>
    <w:rsid w:val="00D702D1"/>
    <w:rsid w:val="00D7032E"/>
    <w:rsid w:val="00D70698"/>
    <w:rsid w:val="00D7209A"/>
    <w:rsid w:val="00D7575D"/>
    <w:rsid w:val="00D77343"/>
    <w:rsid w:val="00D808CE"/>
    <w:rsid w:val="00D80AC4"/>
    <w:rsid w:val="00D81FE3"/>
    <w:rsid w:val="00D824CA"/>
    <w:rsid w:val="00D828C6"/>
    <w:rsid w:val="00D837C6"/>
    <w:rsid w:val="00D84A39"/>
    <w:rsid w:val="00D85E1C"/>
    <w:rsid w:val="00D86544"/>
    <w:rsid w:val="00D86AD2"/>
    <w:rsid w:val="00D8759F"/>
    <w:rsid w:val="00D87B63"/>
    <w:rsid w:val="00D900D4"/>
    <w:rsid w:val="00D903AE"/>
    <w:rsid w:val="00D90B08"/>
    <w:rsid w:val="00D90D27"/>
    <w:rsid w:val="00D91851"/>
    <w:rsid w:val="00D93474"/>
    <w:rsid w:val="00D94374"/>
    <w:rsid w:val="00D949D8"/>
    <w:rsid w:val="00D955C8"/>
    <w:rsid w:val="00D95670"/>
    <w:rsid w:val="00D959C8"/>
    <w:rsid w:val="00D95C35"/>
    <w:rsid w:val="00D95D56"/>
    <w:rsid w:val="00D95E83"/>
    <w:rsid w:val="00D96951"/>
    <w:rsid w:val="00D9701D"/>
    <w:rsid w:val="00DA0094"/>
    <w:rsid w:val="00DA0465"/>
    <w:rsid w:val="00DA07F0"/>
    <w:rsid w:val="00DA1E0D"/>
    <w:rsid w:val="00DA1EAC"/>
    <w:rsid w:val="00DA2029"/>
    <w:rsid w:val="00DA20A5"/>
    <w:rsid w:val="00DA2390"/>
    <w:rsid w:val="00DA2BD3"/>
    <w:rsid w:val="00DA35C4"/>
    <w:rsid w:val="00DA3889"/>
    <w:rsid w:val="00DA66D6"/>
    <w:rsid w:val="00DA6F76"/>
    <w:rsid w:val="00DB0103"/>
    <w:rsid w:val="00DB2C13"/>
    <w:rsid w:val="00DB35F7"/>
    <w:rsid w:val="00DB3708"/>
    <w:rsid w:val="00DB537C"/>
    <w:rsid w:val="00DB61AD"/>
    <w:rsid w:val="00DB7240"/>
    <w:rsid w:val="00DC17F9"/>
    <w:rsid w:val="00DC30A5"/>
    <w:rsid w:val="00DC422E"/>
    <w:rsid w:val="00DC6238"/>
    <w:rsid w:val="00DC73C0"/>
    <w:rsid w:val="00DC7819"/>
    <w:rsid w:val="00DC7845"/>
    <w:rsid w:val="00DD05AD"/>
    <w:rsid w:val="00DD1D98"/>
    <w:rsid w:val="00DD2700"/>
    <w:rsid w:val="00DD305F"/>
    <w:rsid w:val="00DD3E1D"/>
    <w:rsid w:val="00DD6B4C"/>
    <w:rsid w:val="00DE2247"/>
    <w:rsid w:val="00DE22D5"/>
    <w:rsid w:val="00DE27FF"/>
    <w:rsid w:val="00DE4485"/>
    <w:rsid w:val="00DE4E43"/>
    <w:rsid w:val="00DE655E"/>
    <w:rsid w:val="00DE73F7"/>
    <w:rsid w:val="00DE7B30"/>
    <w:rsid w:val="00DF02AE"/>
    <w:rsid w:val="00DF11FC"/>
    <w:rsid w:val="00DF1B1D"/>
    <w:rsid w:val="00DF2C23"/>
    <w:rsid w:val="00DF3B4A"/>
    <w:rsid w:val="00DF3FC5"/>
    <w:rsid w:val="00DF410D"/>
    <w:rsid w:val="00DF448E"/>
    <w:rsid w:val="00DF5510"/>
    <w:rsid w:val="00DF7AB3"/>
    <w:rsid w:val="00E038B7"/>
    <w:rsid w:val="00E049EB"/>
    <w:rsid w:val="00E07A09"/>
    <w:rsid w:val="00E109CC"/>
    <w:rsid w:val="00E1114A"/>
    <w:rsid w:val="00E12174"/>
    <w:rsid w:val="00E122FD"/>
    <w:rsid w:val="00E12385"/>
    <w:rsid w:val="00E12A0F"/>
    <w:rsid w:val="00E12BDC"/>
    <w:rsid w:val="00E1354E"/>
    <w:rsid w:val="00E13B0E"/>
    <w:rsid w:val="00E15179"/>
    <w:rsid w:val="00E1717B"/>
    <w:rsid w:val="00E17B77"/>
    <w:rsid w:val="00E204D5"/>
    <w:rsid w:val="00E21289"/>
    <w:rsid w:val="00E215AC"/>
    <w:rsid w:val="00E222F9"/>
    <w:rsid w:val="00E227F4"/>
    <w:rsid w:val="00E23F4D"/>
    <w:rsid w:val="00E24F9E"/>
    <w:rsid w:val="00E2530F"/>
    <w:rsid w:val="00E25393"/>
    <w:rsid w:val="00E26772"/>
    <w:rsid w:val="00E26EC7"/>
    <w:rsid w:val="00E27853"/>
    <w:rsid w:val="00E30CE1"/>
    <w:rsid w:val="00E30F2C"/>
    <w:rsid w:val="00E32670"/>
    <w:rsid w:val="00E32E1D"/>
    <w:rsid w:val="00E32F82"/>
    <w:rsid w:val="00E368BF"/>
    <w:rsid w:val="00E36EDC"/>
    <w:rsid w:val="00E3754A"/>
    <w:rsid w:val="00E37915"/>
    <w:rsid w:val="00E40DBA"/>
    <w:rsid w:val="00E4235B"/>
    <w:rsid w:val="00E42769"/>
    <w:rsid w:val="00E42EB3"/>
    <w:rsid w:val="00E431F7"/>
    <w:rsid w:val="00E4331B"/>
    <w:rsid w:val="00E43413"/>
    <w:rsid w:val="00E444D8"/>
    <w:rsid w:val="00E460AA"/>
    <w:rsid w:val="00E46F70"/>
    <w:rsid w:val="00E4785E"/>
    <w:rsid w:val="00E504BC"/>
    <w:rsid w:val="00E50B1F"/>
    <w:rsid w:val="00E51C80"/>
    <w:rsid w:val="00E51DA9"/>
    <w:rsid w:val="00E53082"/>
    <w:rsid w:val="00E55D46"/>
    <w:rsid w:val="00E55E1F"/>
    <w:rsid w:val="00E57346"/>
    <w:rsid w:val="00E6074F"/>
    <w:rsid w:val="00E60C61"/>
    <w:rsid w:val="00E6136E"/>
    <w:rsid w:val="00E62975"/>
    <w:rsid w:val="00E634EC"/>
    <w:rsid w:val="00E63F19"/>
    <w:rsid w:val="00E640D6"/>
    <w:rsid w:val="00E70249"/>
    <w:rsid w:val="00E716D1"/>
    <w:rsid w:val="00E71786"/>
    <w:rsid w:val="00E7231A"/>
    <w:rsid w:val="00E725CF"/>
    <w:rsid w:val="00E738EF"/>
    <w:rsid w:val="00E73A95"/>
    <w:rsid w:val="00E73B66"/>
    <w:rsid w:val="00E73CB9"/>
    <w:rsid w:val="00E7481A"/>
    <w:rsid w:val="00E75BE3"/>
    <w:rsid w:val="00E75C4F"/>
    <w:rsid w:val="00E7639F"/>
    <w:rsid w:val="00E8034B"/>
    <w:rsid w:val="00E830DE"/>
    <w:rsid w:val="00E849C7"/>
    <w:rsid w:val="00E84B4A"/>
    <w:rsid w:val="00E850C2"/>
    <w:rsid w:val="00E87C64"/>
    <w:rsid w:val="00E87C83"/>
    <w:rsid w:val="00E93D7D"/>
    <w:rsid w:val="00E94D2B"/>
    <w:rsid w:val="00E94DBC"/>
    <w:rsid w:val="00E96125"/>
    <w:rsid w:val="00EA0C1C"/>
    <w:rsid w:val="00EA0DC1"/>
    <w:rsid w:val="00EA17FC"/>
    <w:rsid w:val="00EA2C79"/>
    <w:rsid w:val="00EA3E58"/>
    <w:rsid w:val="00EA5AB0"/>
    <w:rsid w:val="00EA745A"/>
    <w:rsid w:val="00EA7DB7"/>
    <w:rsid w:val="00EB0A2E"/>
    <w:rsid w:val="00EB1409"/>
    <w:rsid w:val="00EB1990"/>
    <w:rsid w:val="00EB3124"/>
    <w:rsid w:val="00EB31F5"/>
    <w:rsid w:val="00EB67A1"/>
    <w:rsid w:val="00EB78C9"/>
    <w:rsid w:val="00EC03C2"/>
    <w:rsid w:val="00EC03FD"/>
    <w:rsid w:val="00EC0E2E"/>
    <w:rsid w:val="00EC3ED1"/>
    <w:rsid w:val="00EC4739"/>
    <w:rsid w:val="00EC4A3D"/>
    <w:rsid w:val="00EC4F78"/>
    <w:rsid w:val="00EC64DF"/>
    <w:rsid w:val="00EC6570"/>
    <w:rsid w:val="00ED0313"/>
    <w:rsid w:val="00ED04B2"/>
    <w:rsid w:val="00ED0EF8"/>
    <w:rsid w:val="00ED1A9D"/>
    <w:rsid w:val="00ED2014"/>
    <w:rsid w:val="00ED2936"/>
    <w:rsid w:val="00ED2F79"/>
    <w:rsid w:val="00ED3692"/>
    <w:rsid w:val="00ED6C55"/>
    <w:rsid w:val="00ED7FD8"/>
    <w:rsid w:val="00EE0CE1"/>
    <w:rsid w:val="00EE11FA"/>
    <w:rsid w:val="00EE2B9D"/>
    <w:rsid w:val="00EE3968"/>
    <w:rsid w:val="00EE3B5D"/>
    <w:rsid w:val="00EE4B44"/>
    <w:rsid w:val="00EE52D1"/>
    <w:rsid w:val="00EE556E"/>
    <w:rsid w:val="00EE568A"/>
    <w:rsid w:val="00EE6D78"/>
    <w:rsid w:val="00EE7F68"/>
    <w:rsid w:val="00EF0527"/>
    <w:rsid w:val="00EF0765"/>
    <w:rsid w:val="00EF18C6"/>
    <w:rsid w:val="00EF1A6A"/>
    <w:rsid w:val="00EF1F4D"/>
    <w:rsid w:val="00EF2417"/>
    <w:rsid w:val="00EF27AA"/>
    <w:rsid w:val="00EF2C1B"/>
    <w:rsid w:val="00EF2E20"/>
    <w:rsid w:val="00EF3F2F"/>
    <w:rsid w:val="00EF47F2"/>
    <w:rsid w:val="00EF7C85"/>
    <w:rsid w:val="00EF7CC6"/>
    <w:rsid w:val="00F007C4"/>
    <w:rsid w:val="00F00B7A"/>
    <w:rsid w:val="00F01B5F"/>
    <w:rsid w:val="00F0269F"/>
    <w:rsid w:val="00F03B1E"/>
    <w:rsid w:val="00F047F4"/>
    <w:rsid w:val="00F04FD3"/>
    <w:rsid w:val="00F05007"/>
    <w:rsid w:val="00F051FC"/>
    <w:rsid w:val="00F057EB"/>
    <w:rsid w:val="00F05A3B"/>
    <w:rsid w:val="00F06FB1"/>
    <w:rsid w:val="00F0716A"/>
    <w:rsid w:val="00F075C3"/>
    <w:rsid w:val="00F10B41"/>
    <w:rsid w:val="00F11DEB"/>
    <w:rsid w:val="00F12749"/>
    <w:rsid w:val="00F133CC"/>
    <w:rsid w:val="00F13C46"/>
    <w:rsid w:val="00F14A76"/>
    <w:rsid w:val="00F16800"/>
    <w:rsid w:val="00F16D90"/>
    <w:rsid w:val="00F17B57"/>
    <w:rsid w:val="00F206F4"/>
    <w:rsid w:val="00F21013"/>
    <w:rsid w:val="00F22164"/>
    <w:rsid w:val="00F22251"/>
    <w:rsid w:val="00F26BBD"/>
    <w:rsid w:val="00F27508"/>
    <w:rsid w:val="00F30045"/>
    <w:rsid w:val="00F318C6"/>
    <w:rsid w:val="00F3315B"/>
    <w:rsid w:val="00F33FC6"/>
    <w:rsid w:val="00F35386"/>
    <w:rsid w:val="00F376BB"/>
    <w:rsid w:val="00F37762"/>
    <w:rsid w:val="00F37C28"/>
    <w:rsid w:val="00F400B1"/>
    <w:rsid w:val="00F411FF"/>
    <w:rsid w:val="00F412F0"/>
    <w:rsid w:val="00F41A27"/>
    <w:rsid w:val="00F43C9D"/>
    <w:rsid w:val="00F44272"/>
    <w:rsid w:val="00F4451E"/>
    <w:rsid w:val="00F46400"/>
    <w:rsid w:val="00F50027"/>
    <w:rsid w:val="00F50275"/>
    <w:rsid w:val="00F5294C"/>
    <w:rsid w:val="00F52FA8"/>
    <w:rsid w:val="00F53119"/>
    <w:rsid w:val="00F53FC7"/>
    <w:rsid w:val="00F54271"/>
    <w:rsid w:val="00F54A81"/>
    <w:rsid w:val="00F54D77"/>
    <w:rsid w:val="00F575EE"/>
    <w:rsid w:val="00F608DB"/>
    <w:rsid w:val="00F60954"/>
    <w:rsid w:val="00F61928"/>
    <w:rsid w:val="00F627FE"/>
    <w:rsid w:val="00F62FE7"/>
    <w:rsid w:val="00F63A7E"/>
    <w:rsid w:val="00F646D8"/>
    <w:rsid w:val="00F657D6"/>
    <w:rsid w:val="00F66CCE"/>
    <w:rsid w:val="00F66E0F"/>
    <w:rsid w:val="00F67193"/>
    <w:rsid w:val="00F67948"/>
    <w:rsid w:val="00F70C25"/>
    <w:rsid w:val="00F729E5"/>
    <w:rsid w:val="00F72DA2"/>
    <w:rsid w:val="00F73509"/>
    <w:rsid w:val="00F73BDA"/>
    <w:rsid w:val="00F74C35"/>
    <w:rsid w:val="00F74EA2"/>
    <w:rsid w:val="00F7548A"/>
    <w:rsid w:val="00F76B40"/>
    <w:rsid w:val="00F76FB9"/>
    <w:rsid w:val="00F7789B"/>
    <w:rsid w:val="00F80DD0"/>
    <w:rsid w:val="00F81F5D"/>
    <w:rsid w:val="00F825AC"/>
    <w:rsid w:val="00F83BC3"/>
    <w:rsid w:val="00F85034"/>
    <w:rsid w:val="00F85089"/>
    <w:rsid w:val="00F8596A"/>
    <w:rsid w:val="00F876BB"/>
    <w:rsid w:val="00F901DB"/>
    <w:rsid w:val="00F91B73"/>
    <w:rsid w:val="00F91E56"/>
    <w:rsid w:val="00F928F4"/>
    <w:rsid w:val="00F9368A"/>
    <w:rsid w:val="00F9442B"/>
    <w:rsid w:val="00F96962"/>
    <w:rsid w:val="00F977EA"/>
    <w:rsid w:val="00F979CB"/>
    <w:rsid w:val="00F97ADF"/>
    <w:rsid w:val="00FA078E"/>
    <w:rsid w:val="00FA08A7"/>
    <w:rsid w:val="00FA08DB"/>
    <w:rsid w:val="00FA13E6"/>
    <w:rsid w:val="00FA30D7"/>
    <w:rsid w:val="00FA46E6"/>
    <w:rsid w:val="00FA4B07"/>
    <w:rsid w:val="00FA69CA"/>
    <w:rsid w:val="00FA704D"/>
    <w:rsid w:val="00FB2DD2"/>
    <w:rsid w:val="00FB3118"/>
    <w:rsid w:val="00FB369E"/>
    <w:rsid w:val="00FB3C8F"/>
    <w:rsid w:val="00FB5B65"/>
    <w:rsid w:val="00FB6367"/>
    <w:rsid w:val="00FB72AD"/>
    <w:rsid w:val="00FC03A2"/>
    <w:rsid w:val="00FC11DD"/>
    <w:rsid w:val="00FC2001"/>
    <w:rsid w:val="00FC2797"/>
    <w:rsid w:val="00FC27F8"/>
    <w:rsid w:val="00FC324D"/>
    <w:rsid w:val="00FC391B"/>
    <w:rsid w:val="00FC3D45"/>
    <w:rsid w:val="00FC4CFD"/>
    <w:rsid w:val="00FC544D"/>
    <w:rsid w:val="00FC5E6D"/>
    <w:rsid w:val="00FC66BF"/>
    <w:rsid w:val="00FC7A83"/>
    <w:rsid w:val="00FD0955"/>
    <w:rsid w:val="00FD1285"/>
    <w:rsid w:val="00FD2013"/>
    <w:rsid w:val="00FD3420"/>
    <w:rsid w:val="00FD3730"/>
    <w:rsid w:val="00FD37B8"/>
    <w:rsid w:val="00FD3AEA"/>
    <w:rsid w:val="00FD5A90"/>
    <w:rsid w:val="00FD702D"/>
    <w:rsid w:val="00FD710A"/>
    <w:rsid w:val="00FD72D2"/>
    <w:rsid w:val="00FD741E"/>
    <w:rsid w:val="00FE0EA7"/>
    <w:rsid w:val="00FE2D9A"/>
    <w:rsid w:val="00FE2E17"/>
    <w:rsid w:val="00FE3D2E"/>
    <w:rsid w:val="00FE4445"/>
    <w:rsid w:val="00FE76D7"/>
    <w:rsid w:val="00FE7A99"/>
    <w:rsid w:val="00FE7DCE"/>
    <w:rsid w:val="00FF03D1"/>
    <w:rsid w:val="00FF08D7"/>
    <w:rsid w:val="00FF0BE3"/>
    <w:rsid w:val="00FF0FFC"/>
    <w:rsid w:val="00FF15A8"/>
    <w:rsid w:val="00FF1EBF"/>
    <w:rsid w:val="00FF3195"/>
    <w:rsid w:val="00FF52FC"/>
    <w:rsid w:val="00FF64A1"/>
    <w:rsid w:val="00FF6873"/>
    <w:rsid w:val="00FF77D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28AC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AFC"/>
    <w:pPr>
      <w:spacing w:line="360" w:lineRule="auto"/>
      <w:jc w:val="both"/>
    </w:pPr>
    <w:rPr>
      <w:rFonts w:ascii="Avenir Book" w:hAnsi="Avenir Book"/>
      <w:sz w:val="20"/>
    </w:rPr>
  </w:style>
  <w:style w:type="paragraph" w:styleId="Heading1">
    <w:name w:val="heading 1"/>
    <w:basedOn w:val="Normal"/>
    <w:next w:val="Normal"/>
    <w:link w:val="Heading1Char"/>
    <w:uiPriority w:val="9"/>
    <w:qFormat/>
    <w:rsid w:val="002606ED"/>
    <w:pPr>
      <w:keepNext/>
      <w:keepLines/>
      <w:spacing w:before="480" w:after="360"/>
      <w:ind w:left="284"/>
      <w:jc w:val="left"/>
      <w:outlineLvl w:val="0"/>
    </w:pPr>
    <w:rPr>
      <w:rFonts w:ascii="Century Gothic" w:eastAsiaTheme="majorEastAsia" w:hAnsi="Century Gothic" w:cstheme="majorBidi"/>
      <w:bCs/>
      <w:color w:val="2B639C"/>
      <w:sz w:val="44"/>
      <w:szCs w:val="44"/>
    </w:rPr>
  </w:style>
  <w:style w:type="paragraph" w:styleId="Heading2">
    <w:name w:val="heading 2"/>
    <w:basedOn w:val="Heading3"/>
    <w:next w:val="Normal"/>
    <w:link w:val="Heading2Char"/>
    <w:uiPriority w:val="9"/>
    <w:unhideWhenUsed/>
    <w:qFormat/>
    <w:rsid w:val="009679FA"/>
    <w:pPr>
      <w:outlineLvl w:val="1"/>
    </w:pPr>
    <w:rPr>
      <w:color w:val="174D92"/>
      <w:sz w:val="34"/>
      <w:szCs w:val="34"/>
    </w:rPr>
  </w:style>
  <w:style w:type="paragraph" w:styleId="Heading3">
    <w:name w:val="heading 3"/>
    <w:basedOn w:val="Heading4"/>
    <w:next w:val="Normal"/>
    <w:link w:val="Heading3Char"/>
    <w:uiPriority w:val="9"/>
    <w:unhideWhenUsed/>
    <w:qFormat/>
    <w:rsid w:val="009679FA"/>
    <w:pPr>
      <w:jc w:val="left"/>
      <w:outlineLvl w:val="2"/>
    </w:pPr>
    <w:rPr>
      <w:color w:val="FFFFFF" w:themeColor="background1"/>
      <w:sz w:val="32"/>
      <w:szCs w:val="36"/>
    </w:rPr>
  </w:style>
  <w:style w:type="paragraph" w:styleId="Heading4">
    <w:name w:val="heading 4"/>
    <w:basedOn w:val="Normal"/>
    <w:next w:val="Normal"/>
    <w:link w:val="Heading4Char"/>
    <w:uiPriority w:val="9"/>
    <w:unhideWhenUsed/>
    <w:qFormat/>
    <w:rsid w:val="00E444D8"/>
    <w:pPr>
      <w:keepNext/>
      <w:keepLines/>
      <w:tabs>
        <w:tab w:val="left" w:pos="284"/>
      </w:tabs>
      <w:spacing w:before="360" w:after="120"/>
      <w:ind w:left="284" w:right="119"/>
      <w:outlineLvl w:val="3"/>
    </w:pPr>
    <w:rPr>
      <w:rFonts w:ascii="Century Gothic" w:eastAsiaTheme="majorEastAsia" w:hAnsi="Century Gothic" w:cstheme="majorBidi"/>
      <w:bCs/>
      <w:iCs/>
      <w:color w:val="194F92"/>
      <w:sz w:val="28"/>
      <w:szCs w:val="28"/>
      <w:lang w:val="en-GB"/>
    </w:rPr>
  </w:style>
  <w:style w:type="paragraph" w:styleId="Heading5">
    <w:name w:val="heading 5"/>
    <w:basedOn w:val="Heading4"/>
    <w:next w:val="Normal"/>
    <w:link w:val="Heading5Char"/>
    <w:uiPriority w:val="9"/>
    <w:unhideWhenUsed/>
    <w:qFormat/>
    <w:rsid w:val="00AD0BE0"/>
    <w:pPr>
      <w:outlineLvl w:val="4"/>
    </w:pPr>
    <w:rPr>
      <w:color w:val="595959" w:themeColor="text1" w:themeTint="A6"/>
      <w:sz w:val="24"/>
      <w:szCs w:val="24"/>
    </w:rPr>
  </w:style>
  <w:style w:type="paragraph" w:styleId="Heading6">
    <w:name w:val="heading 6"/>
    <w:basedOn w:val="Heading9"/>
    <w:next w:val="Normal"/>
    <w:link w:val="Heading6Char"/>
    <w:uiPriority w:val="9"/>
    <w:unhideWhenUsed/>
    <w:qFormat/>
    <w:rsid w:val="00FC66BF"/>
    <w:pPr>
      <w:ind w:left="284"/>
      <w:outlineLvl w:val="5"/>
    </w:pPr>
  </w:style>
  <w:style w:type="paragraph" w:styleId="Heading7">
    <w:name w:val="heading 7"/>
    <w:basedOn w:val="Heading6"/>
    <w:next w:val="Normal"/>
    <w:link w:val="Heading7Char"/>
    <w:uiPriority w:val="9"/>
    <w:unhideWhenUsed/>
    <w:qFormat/>
    <w:rsid w:val="0055158C"/>
    <w:pPr>
      <w:outlineLvl w:val="6"/>
    </w:pPr>
    <w:rPr>
      <w:color w:val="FFFFFF" w:themeColor="background1"/>
    </w:rPr>
  </w:style>
  <w:style w:type="paragraph" w:styleId="Heading8">
    <w:name w:val="heading 8"/>
    <w:basedOn w:val="Normal"/>
    <w:next w:val="Normal"/>
    <w:link w:val="Heading8Char"/>
    <w:uiPriority w:val="9"/>
    <w:unhideWhenUsed/>
    <w:qFormat/>
    <w:rsid w:val="004B3FA2"/>
    <w:pPr>
      <w:keepNext/>
      <w:keepLines/>
      <w:tabs>
        <w:tab w:val="left" w:pos="142"/>
      </w:tabs>
      <w:spacing w:before="200" w:after="120"/>
      <w:ind w:left="284"/>
      <w:outlineLvl w:val="7"/>
    </w:pPr>
    <w:rPr>
      <w:rFonts w:ascii="Century Gothic" w:eastAsiaTheme="majorEastAsia" w:hAnsi="Century Gothic" w:cstheme="majorBidi"/>
      <w:color w:val="FFFFFF" w:themeColor="background1"/>
      <w:szCs w:val="20"/>
    </w:rPr>
  </w:style>
  <w:style w:type="paragraph" w:styleId="Heading9">
    <w:name w:val="heading 9"/>
    <w:basedOn w:val="Normal"/>
    <w:next w:val="Normal"/>
    <w:link w:val="Heading9Char"/>
    <w:uiPriority w:val="9"/>
    <w:unhideWhenUsed/>
    <w:qFormat/>
    <w:rsid w:val="002B1A75"/>
    <w:pPr>
      <w:keepNext/>
      <w:keepLines/>
      <w:spacing w:before="200"/>
      <w:outlineLvl w:val="8"/>
    </w:pPr>
    <w:rPr>
      <w:rFonts w:ascii="Century Gothic" w:eastAsiaTheme="majorEastAsia" w:hAnsi="Century Gothic" w:cstheme="majorBidi"/>
      <w:iCs/>
      <w:color w:val="19509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6ED"/>
    <w:rPr>
      <w:rFonts w:ascii="Century Gothic" w:eastAsiaTheme="majorEastAsia" w:hAnsi="Century Gothic" w:cstheme="majorBidi"/>
      <w:bCs/>
      <w:color w:val="2B639C"/>
      <w:sz w:val="44"/>
      <w:szCs w:val="44"/>
    </w:rPr>
  </w:style>
  <w:style w:type="character" w:customStyle="1" w:styleId="Heading2Char">
    <w:name w:val="Heading 2 Char"/>
    <w:basedOn w:val="DefaultParagraphFont"/>
    <w:link w:val="Heading2"/>
    <w:uiPriority w:val="9"/>
    <w:rsid w:val="009679FA"/>
    <w:rPr>
      <w:rFonts w:ascii="Century Gothic" w:eastAsiaTheme="majorEastAsia" w:hAnsi="Century Gothic" w:cstheme="majorBidi"/>
      <w:bCs/>
      <w:iCs/>
      <w:color w:val="174D92"/>
      <w:sz w:val="34"/>
      <w:szCs w:val="34"/>
      <w:lang w:val="en-GB"/>
    </w:rPr>
  </w:style>
  <w:style w:type="character" w:customStyle="1" w:styleId="Heading4Char">
    <w:name w:val="Heading 4 Char"/>
    <w:basedOn w:val="DefaultParagraphFont"/>
    <w:link w:val="Heading4"/>
    <w:uiPriority w:val="9"/>
    <w:rsid w:val="00E444D8"/>
    <w:rPr>
      <w:rFonts w:ascii="Century Gothic" w:eastAsiaTheme="majorEastAsia" w:hAnsi="Century Gothic" w:cstheme="majorBidi"/>
      <w:bCs/>
      <w:iCs/>
      <w:color w:val="194F92"/>
      <w:sz w:val="28"/>
      <w:szCs w:val="28"/>
      <w:lang w:val="en-GB"/>
    </w:rPr>
  </w:style>
  <w:style w:type="character" w:styleId="SubtleEmphasis">
    <w:name w:val="Subtle Emphasis"/>
    <w:uiPriority w:val="19"/>
    <w:qFormat/>
    <w:rsid w:val="002F6CE1"/>
    <w:rPr>
      <w:i/>
    </w:rPr>
  </w:style>
  <w:style w:type="table" w:styleId="TableGrid">
    <w:name w:val="Table Grid"/>
    <w:basedOn w:val="TableNormal"/>
    <w:uiPriority w:val="59"/>
    <w:rsid w:val="007C5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Paragraph"/>
    <w:uiPriority w:val="1"/>
    <w:qFormat/>
    <w:rsid w:val="00D24BD0"/>
    <w:pPr>
      <w:spacing w:before="240" w:after="120" w:line="360" w:lineRule="auto"/>
      <w:jc w:val="both"/>
    </w:pPr>
    <w:rPr>
      <w:rFonts w:ascii="Avenir Book" w:hAnsi="Avenir Book"/>
      <w:sz w:val="20"/>
    </w:rPr>
  </w:style>
  <w:style w:type="paragraph" w:styleId="Quote">
    <w:name w:val="Quote"/>
    <w:basedOn w:val="Normal"/>
    <w:next w:val="Normal"/>
    <w:link w:val="QuoteChar"/>
    <w:uiPriority w:val="29"/>
    <w:qFormat/>
    <w:rsid w:val="00B65E4B"/>
    <w:pPr>
      <w:spacing w:before="180" w:after="180"/>
      <w:ind w:left="720" w:right="697"/>
    </w:pPr>
    <w:rPr>
      <w:iCs/>
      <w:color w:val="194F92"/>
      <w:lang w:val="en-US"/>
    </w:rPr>
  </w:style>
  <w:style w:type="character" w:customStyle="1" w:styleId="QuoteChar">
    <w:name w:val="Quote Char"/>
    <w:basedOn w:val="DefaultParagraphFont"/>
    <w:link w:val="Quote"/>
    <w:uiPriority w:val="29"/>
    <w:rsid w:val="00B65E4B"/>
    <w:rPr>
      <w:rFonts w:ascii="Avenir Book" w:hAnsi="Avenir Book"/>
      <w:iCs/>
      <w:color w:val="194F92"/>
      <w:sz w:val="20"/>
      <w:lang w:val="en-US"/>
    </w:rPr>
  </w:style>
  <w:style w:type="character" w:customStyle="1" w:styleId="apple-converted-space">
    <w:name w:val="apple-converted-space"/>
    <w:basedOn w:val="DefaultParagraphFont"/>
    <w:rsid w:val="005311A8"/>
  </w:style>
  <w:style w:type="paragraph" w:styleId="Header">
    <w:name w:val="header"/>
    <w:basedOn w:val="Normal"/>
    <w:link w:val="HeaderChar"/>
    <w:uiPriority w:val="99"/>
    <w:unhideWhenUsed/>
    <w:rsid w:val="00CE5890"/>
    <w:pPr>
      <w:tabs>
        <w:tab w:val="center" w:pos="4320"/>
        <w:tab w:val="right" w:pos="8640"/>
      </w:tabs>
      <w:spacing w:line="240" w:lineRule="auto"/>
    </w:pPr>
  </w:style>
  <w:style w:type="character" w:customStyle="1" w:styleId="HeaderChar">
    <w:name w:val="Header Char"/>
    <w:basedOn w:val="DefaultParagraphFont"/>
    <w:link w:val="Header"/>
    <w:uiPriority w:val="99"/>
    <w:rsid w:val="00CE5890"/>
    <w:rPr>
      <w:rFonts w:ascii="Avenir Book" w:hAnsi="Avenir Book"/>
    </w:rPr>
  </w:style>
  <w:style w:type="paragraph" w:styleId="Footer">
    <w:name w:val="footer"/>
    <w:basedOn w:val="Normal"/>
    <w:link w:val="FooterChar"/>
    <w:uiPriority w:val="99"/>
    <w:unhideWhenUsed/>
    <w:rsid w:val="00CE5890"/>
    <w:pPr>
      <w:tabs>
        <w:tab w:val="center" w:pos="4320"/>
        <w:tab w:val="right" w:pos="8640"/>
      </w:tabs>
      <w:spacing w:line="240" w:lineRule="auto"/>
    </w:pPr>
  </w:style>
  <w:style w:type="character" w:customStyle="1" w:styleId="FooterChar">
    <w:name w:val="Footer Char"/>
    <w:basedOn w:val="DefaultParagraphFont"/>
    <w:link w:val="Footer"/>
    <w:uiPriority w:val="99"/>
    <w:rsid w:val="00CE5890"/>
    <w:rPr>
      <w:rFonts w:ascii="Avenir Book" w:hAnsi="Avenir Book"/>
    </w:rPr>
  </w:style>
  <w:style w:type="character" w:styleId="PageNumber">
    <w:name w:val="page number"/>
    <w:basedOn w:val="DefaultParagraphFont"/>
    <w:uiPriority w:val="99"/>
    <w:semiHidden/>
    <w:unhideWhenUsed/>
    <w:rsid w:val="00CE5890"/>
  </w:style>
  <w:style w:type="paragraph" w:styleId="Title">
    <w:name w:val="Title"/>
    <w:basedOn w:val="Heading1"/>
    <w:next w:val="Normal"/>
    <w:link w:val="TitleChar"/>
    <w:uiPriority w:val="10"/>
    <w:qFormat/>
    <w:rsid w:val="00B5466F"/>
    <w:pPr>
      <w:spacing w:before="360"/>
      <w:ind w:left="2880"/>
    </w:pPr>
    <w:rPr>
      <w:sz w:val="72"/>
      <w:szCs w:val="72"/>
    </w:rPr>
  </w:style>
  <w:style w:type="character" w:customStyle="1" w:styleId="TitleChar">
    <w:name w:val="Title Char"/>
    <w:basedOn w:val="DefaultParagraphFont"/>
    <w:link w:val="Title"/>
    <w:uiPriority w:val="10"/>
    <w:rsid w:val="00B5466F"/>
    <w:rPr>
      <w:rFonts w:ascii="Century Gothic" w:eastAsiaTheme="majorEastAsia" w:hAnsi="Century Gothic" w:cstheme="majorBidi"/>
      <w:bCs/>
      <w:color w:val="2B639C"/>
      <w:sz w:val="72"/>
      <w:szCs w:val="72"/>
      <w:lang w:val="en-US"/>
    </w:rPr>
  </w:style>
  <w:style w:type="paragraph" w:styleId="Subtitle">
    <w:name w:val="Subtitle"/>
    <w:basedOn w:val="Normal"/>
    <w:next w:val="Normal"/>
    <w:link w:val="SubtitleChar"/>
    <w:uiPriority w:val="11"/>
    <w:qFormat/>
    <w:rsid w:val="00256F00"/>
    <w:pPr>
      <w:ind w:left="2880"/>
    </w:pPr>
    <w:rPr>
      <w:color w:val="2B639C"/>
    </w:rPr>
  </w:style>
  <w:style w:type="character" w:customStyle="1" w:styleId="SubtitleChar">
    <w:name w:val="Subtitle Char"/>
    <w:basedOn w:val="DefaultParagraphFont"/>
    <w:link w:val="Subtitle"/>
    <w:uiPriority w:val="11"/>
    <w:rsid w:val="00256F00"/>
    <w:rPr>
      <w:rFonts w:ascii="Avenir Book" w:hAnsi="Avenir Book"/>
      <w:color w:val="2B639C"/>
    </w:rPr>
  </w:style>
  <w:style w:type="paragraph" w:styleId="BalloonText">
    <w:name w:val="Balloon Text"/>
    <w:basedOn w:val="Normal"/>
    <w:link w:val="BalloonTextChar"/>
    <w:uiPriority w:val="99"/>
    <w:semiHidden/>
    <w:unhideWhenUsed/>
    <w:rsid w:val="00EF18C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18C6"/>
    <w:rPr>
      <w:rFonts w:ascii="Lucida Grande" w:hAnsi="Lucida Grande" w:cs="Lucida Grande"/>
      <w:sz w:val="18"/>
      <w:szCs w:val="18"/>
    </w:rPr>
  </w:style>
  <w:style w:type="character" w:customStyle="1" w:styleId="Heading5Char">
    <w:name w:val="Heading 5 Char"/>
    <w:basedOn w:val="DefaultParagraphFont"/>
    <w:link w:val="Heading5"/>
    <w:uiPriority w:val="9"/>
    <w:rsid w:val="00AD0BE0"/>
    <w:rPr>
      <w:rFonts w:ascii="Century Gothic" w:eastAsiaTheme="majorEastAsia" w:hAnsi="Century Gothic" w:cstheme="majorBidi"/>
      <w:bCs/>
      <w:iCs/>
      <w:color w:val="595959" w:themeColor="text1" w:themeTint="A6"/>
      <w:lang w:val="en-GB"/>
    </w:rPr>
  </w:style>
  <w:style w:type="paragraph" w:styleId="TOCHeading">
    <w:name w:val="TOC Heading"/>
    <w:basedOn w:val="Heading1"/>
    <w:next w:val="Normal"/>
    <w:uiPriority w:val="39"/>
    <w:unhideWhenUsed/>
    <w:qFormat/>
    <w:rsid w:val="002C0A2A"/>
  </w:style>
  <w:style w:type="paragraph" w:styleId="TOC2">
    <w:name w:val="toc 2"/>
    <w:basedOn w:val="Normal"/>
    <w:next w:val="Normal"/>
    <w:autoRedefine/>
    <w:uiPriority w:val="39"/>
    <w:unhideWhenUsed/>
    <w:rsid w:val="00630A81"/>
    <w:pPr>
      <w:tabs>
        <w:tab w:val="right" w:leader="dot" w:pos="9010"/>
      </w:tabs>
      <w:jc w:val="left"/>
    </w:pPr>
    <w:rPr>
      <w:rFonts w:ascii="Century Gothic" w:hAnsi="Century Gothic"/>
      <w:noProof/>
      <w:color w:val="808080" w:themeColor="background1" w:themeShade="80"/>
      <w:sz w:val="22"/>
      <w:szCs w:val="22"/>
      <w:lang w:val="en-AU"/>
    </w:rPr>
  </w:style>
  <w:style w:type="paragraph" w:styleId="TOC1">
    <w:name w:val="toc 1"/>
    <w:basedOn w:val="Normal"/>
    <w:next w:val="Normal"/>
    <w:autoRedefine/>
    <w:uiPriority w:val="39"/>
    <w:unhideWhenUsed/>
    <w:rsid w:val="00630A81"/>
    <w:pPr>
      <w:tabs>
        <w:tab w:val="right" w:leader="dot" w:pos="9010"/>
      </w:tabs>
      <w:spacing w:before="120"/>
      <w:jc w:val="left"/>
    </w:pPr>
    <w:rPr>
      <w:rFonts w:ascii="Century Gothic" w:hAnsi="Century Gothic"/>
      <w:noProof/>
      <w:color w:val="1A5092"/>
      <w:sz w:val="22"/>
      <w:szCs w:val="22"/>
      <w:lang w:val="en-AU"/>
    </w:rPr>
  </w:style>
  <w:style w:type="paragraph" w:styleId="TOC3">
    <w:name w:val="toc 3"/>
    <w:basedOn w:val="Normal"/>
    <w:next w:val="Normal"/>
    <w:autoRedefine/>
    <w:uiPriority w:val="39"/>
    <w:unhideWhenUsed/>
    <w:rsid w:val="00630A81"/>
    <w:pPr>
      <w:ind w:left="200"/>
      <w:jc w:val="left"/>
    </w:pPr>
    <w:rPr>
      <w:rFonts w:ascii="Century Gothic" w:hAnsi="Century Gothic"/>
      <w:sz w:val="22"/>
      <w:szCs w:val="22"/>
    </w:rPr>
  </w:style>
  <w:style w:type="paragraph" w:styleId="TOC4">
    <w:name w:val="toc 4"/>
    <w:basedOn w:val="Normal"/>
    <w:next w:val="Normal"/>
    <w:autoRedefine/>
    <w:uiPriority w:val="39"/>
    <w:unhideWhenUsed/>
    <w:rsid w:val="004B505F"/>
    <w:pPr>
      <w:pBdr>
        <w:between w:val="double" w:sz="6" w:space="0" w:color="auto"/>
      </w:pBdr>
      <w:ind w:left="400"/>
      <w:jc w:val="left"/>
    </w:pPr>
    <w:rPr>
      <w:rFonts w:asciiTheme="minorHAnsi" w:hAnsiTheme="minorHAnsi"/>
      <w:szCs w:val="20"/>
    </w:rPr>
  </w:style>
  <w:style w:type="paragraph" w:styleId="TOC5">
    <w:name w:val="toc 5"/>
    <w:basedOn w:val="Normal"/>
    <w:next w:val="Normal"/>
    <w:autoRedefine/>
    <w:uiPriority w:val="39"/>
    <w:unhideWhenUsed/>
    <w:rsid w:val="004B505F"/>
    <w:pPr>
      <w:pBdr>
        <w:between w:val="double" w:sz="6" w:space="0" w:color="auto"/>
      </w:pBdr>
      <w:ind w:left="600"/>
      <w:jc w:val="left"/>
    </w:pPr>
    <w:rPr>
      <w:rFonts w:asciiTheme="minorHAnsi" w:hAnsiTheme="minorHAnsi"/>
      <w:szCs w:val="20"/>
    </w:rPr>
  </w:style>
  <w:style w:type="paragraph" w:styleId="TOC6">
    <w:name w:val="toc 6"/>
    <w:basedOn w:val="Normal"/>
    <w:next w:val="Normal"/>
    <w:autoRedefine/>
    <w:uiPriority w:val="39"/>
    <w:unhideWhenUsed/>
    <w:rsid w:val="004B505F"/>
    <w:pPr>
      <w:pBdr>
        <w:between w:val="double" w:sz="6" w:space="0" w:color="auto"/>
      </w:pBdr>
      <w:ind w:left="800"/>
      <w:jc w:val="left"/>
    </w:pPr>
    <w:rPr>
      <w:rFonts w:asciiTheme="minorHAnsi" w:hAnsiTheme="minorHAnsi"/>
      <w:szCs w:val="20"/>
    </w:rPr>
  </w:style>
  <w:style w:type="paragraph" w:styleId="TOC7">
    <w:name w:val="toc 7"/>
    <w:basedOn w:val="Normal"/>
    <w:next w:val="Normal"/>
    <w:autoRedefine/>
    <w:uiPriority w:val="39"/>
    <w:unhideWhenUsed/>
    <w:rsid w:val="004B505F"/>
    <w:pPr>
      <w:pBdr>
        <w:between w:val="double" w:sz="6" w:space="0" w:color="auto"/>
      </w:pBdr>
      <w:ind w:left="1000"/>
      <w:jc w:val="left"/>
    </w:pPr>
    <w:rPr>
      <w:rFonts w:asciiTheme="minorHAnsi" w:hAnsiTheme="minorHAnsi"/>
      <w:szCs w:val="20"/>
    </w:rPr>
  </w:style>
  <w:style w:type="paragraph" w:styleId="TOC8">
    <w:name w:val="toc 8"/>
    <w:basedOn w:val="Normal"/>
    <w:next w:val="Normal"/>
    <w:autoRedefine/>
    <w:uiPriority w:val="39"/>
    <w:unhideWhenUsed/>
    <w:rsid w:val="004B505F"/>
    <w:pPr>
      <w:pBdr>
        <w:between w:val="double" w:sz="6" w:space="0" w:color="auto"/>
      </w:pBdr>
      <w:ind w:left="1200"/>
      <w:jc w:val="left"/>
    </w:pPr>
    <w:rPr>
      <w:rFonts w:asciiTheme="minorHAnsi" w:hAnsiTheme="minorHAnsi"/>
      <w:szCs w:val="20"/>
    </w:rPr>
  </w:style>
  <w:style w:type="paragraph" w:styleId="TOC9">
    <w:name w:val="toc 9"/>
    <w:basedOn w:val="Normal"/>
    <w:next w:val="Normal"/>
    <w:autoRedefine/>
    <w:uiPriority w:val="39"/>
    <w:unhideWhenUsed/>
    <w:rsid w:val="004B505F"/>
    <w:pPr>
      <w:pBdr>
        <w:between w:val="double" w:sz="6" w:space="0" w:color="auto"/>
      </w:pBdr>
      <w:ind w:left="1400"/>
      <w:jc w:val="left"/>
    </w:pPr>
    <w:rPr>
      <w:rFonts w:asciiTheme="minorHAnsi" w:hAnsiTheme="minorHAnsi"/>
      <w:szCs w:val="20"/>
    </w:rPr>
  </w:style>
  <w:style w:type="character" w:styleId="Emphasis">
    <w:name w:val="Emphasis"/>
    <w:uiPriority w:val="20"/>
    <w:qFormat/>
    <w:rsid w:val="00E27853"/>
    <w:rPr>
      <w:color w:val="1D5592"/>
      <w:sz w:val="24"/>
    </w:rPr>
  </w:style>
  <w:style w:type="character" w:styleId="Hyperlink">
    <w:name w:val="Hyperlink"/>
    <w:basedOn w:val="DefaultParagraphFont"/>
    <w:uiPriority w:val="99"/>
    <w:unhideWhenUsed/>
    <w:rsid w:val="001737C3"/>
    <w:rPr>
      <w:color w:val="0000FF" w:themeColor="hyperlink"/>
      <w:u w:val="single"/>
    </w:rPr>
  </w:style>
  <w:style w:type="character" w:customStyle="1" w:styleId="Heading3Char">
    <w:name w:val="Heading 3 Char"/>
    <w:basedOn w:val="DefaultParagraphFont"/>
    <w:link w:val="Heading3"/>
    <w:uiPriority w:val="9"/>
    <w:rsid w:val="009679FA"/>
    <w:rPr>
      <w:rFonts w:ascii="Century Gothic" w:eastAsiaTheme="majorEastAsia" w:hAnsi="Century Gothic" w:cstheme="majorBidi"/>
      <w:bCs/>
      <w:iCs/>
      <w:color w:val="FFFFFF" w:themeColor="background1"/>
      <w:sz w:val="32"/>
      <w:szCs w:val="36"/>
      <w:lang w:val="en-GB"/>
    </w:rPr>
  </w:style>
  <w:style w:type="character" w:styleId="IntenseEmphasis">
    <w:name w:val="Intense Emphasis"/>
    <w:uiPriority w:val="21"/>
    <w:qFormat/>
    <w:rsid w:val="00507BE5"/>
    <w:rPr>
      <w:rFonts w:eastAsia="MS PMincho" w:cs="Times New Roman"/>
      <w:color w:val="FFFFFF" w:themeColor="background1"/>
      <w:sz w:val="48"/>
      <w:szCs w:val="48"/>
      <w:lang w:val="en-GB"/>
    </w:rPr>
  </w:style>
  <w:style w:type="paragraph" w:styleId="ListParagraph">
    <w:name w:val="List Paragraph"/>
    <w:aliases w:val="References"/>
    <w:basedOn w:val="NoSpacing"/>
    <w:uiPriority w:val="34"/>
    <w:qFormat/>
    <w:rsid w:val="00AB685C"/>
    <w:pPr>
      <w:ind w:left="720" w:hanging="720"/>
      <w:jc w:val="left"/>
    </w:pPr>
  </w:style>
  <w:style w:type="table" w:customStyle="1" w:styleId="PlainTable11">
    <w:name w:val="Plain Table 11"/>
    <w:basedOn w:val="TableNormal"/>
    <w:uiPriority w:val="99"/>
    <w:rsid w:val="008154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9"/>
    <w:rsid w:val="008154C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7Colorful-Accent61">
    <w:name w:val="List Table 7 Colorful - Accent 61"/>
    <w:basedOn w:val="TableNormal"/>
    <w:uiPriority w:val="52"/>
    <w:rsid w:val="008154C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TableNormal"/>
    <w:uiPriority w:val="99"/>
    <w:rsid w:val="00922B30"/>
    <w:tblP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Pr>
    <w:tcPr>
      <w:shd w:val="clear" w:color="auto" w:fill="E2E6EF"/>
    </w:tcPr>
  </w:style>
  <w:style w:type="table" w:customStyle="1" w:styleId="Style2">
    <w:name w:val="Style2"/>
    <w:basedOn w:val="TableNormal"/>
    <w:uiPriority w:val="99"/>
    <w:rsid w:val="008154C5"/>
    <w:tblPr>
      <w:tblBorders>
        <w:top w:val="single" w:sz="4" w:space="0" w:color="DED4CF"/>
        <w:left w:val="single" w:sz="4" w:space="0" w:color="DED4CF"/>
        <w:bottom w:val="single" w:sz="4" w:space="0" w:color="DED4CF"/>
        <w:right w:val="single" w:sz="4" w:space="0" w:color="DED4CF"/>
        <w:insideH w:val="single" w:sz="4" w:space="0" w:color="DED4CF"/>
        <w:insideV w:val="single" w:sz="4" w:space="0" w:color="DED4CF"/>
      </w:tblBorders>
    </w:tblPr>
    <w:tcPr>
      <w:shd w:val="clear" w:color="auto" w:fill="DED4CF"/>
    </w:tcPr>
  </w:style>
  <w:style w:type="table" w:customStyle="1" w:styleId="Style3">
    <w:name w:val="Style3"/>
    <w:basedOn w:val="TableNormal"/>
    <w:uiPriority w:val="99"/>
    <w:rsid w:val="008154C5"/>
    <w:tblPr>
      <w:tblBorders>
        <w:top w:val="single" w:sz="4" w:space="0" w:color="AB9E92"/>
        <w:left w:val="single" w:sz="4" w:space="0" w:color="AB9E92"/>
        <w:bottom w:val="single" w:sz="4" w:space="0" w:color="AB9E92"/>
        <w:right w:val="single" w:sz="4" w:space="0" w:color="AB9E92"/>
        <w:insideH w:val="single" w:sz="4" w:space="0" w:color="AB9E92"/>
        <w:insideV w:val="single" w:sz="4" w:space="0" w:color="AB9E92"/>
      </w:tblBorders>
    </w:tblPr>
    <w:tcPr>
      <w:shd w:val="clear" w:color="auto" w:fill="AB9E92"/>
    </w:tcPr>
  </w:style>
  <w:style w:type="table" w:customStyle="1" w:styleId="Style4">
    <w:name w:val="Style4"/>
    <w:basedOn w:val="TableNormal"/>
    <w:uiPriority w:val="99"/>
    <w:rsid w:val="003F3B7E"/>
    <w:tblPr>
      <w:tblBorders>
        <w:insideH w:val="single" w:sz="36" w:space="0" w:color="FFFFFF" w:themeColor="background1"/>
        <w:insideV w:val="single" w:sz="36" w:space="0" w:color="FFFFFF" w:themeColor="background1"/>
      </w:tblBorders>
    </w:tblPr>
    <w:tcPr>
      <w:shd w:val="clear" w:color="auto" w:fill="F8F7FC"/>
    </w:tcPr>
    <w:tblStylePr w:type="firstRow">
      <w:tblPr/>
      <w:tcPr>
        <w:shd w:val="clear" w:color="auto" w:fill="DDE1E9"/>
      </w:tcPr>
    </w:tblStylePr>
  </w:style>
  <w:style w:type="table" w:customStyle="1" w:styleId="Style5">
    <w:name w:val="Style5"/>
    <w:basedOn w:val="TableNormal"/>
    <w:uiPriority w:val="99"/>
    <w:rsid w:val="00CD1BD0"/>
    <w:tblP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Pr>
    <w:tcPr>
      <w:shd w:val="clear" w:color="auto" w:fill="DDE1E9"/>
    </w:tcPr>
  </w:style>
  <w:style w:type="table" w:customStyle="1" w:styleId="Style6">
    <w:name w:val="Style6"/>
    <w:basedOn w:val="TableNormal"/>
    <w:uiPriority w:val="99"/>
    <w:rsid w:val="00CE6869"/>
    <w:tblP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Pr>
    <w:tcPr>
      <w:shd w:val="clear" w:color="auto" w:fill="DED4CF"/>
    </w:tcPr>
    <w:tblStylePr w:type="firstCol">
      <w:pPr>
        <w:wordWrap/>
        <w:jc w:val="center"/>
      </w:pPr>
      <w:tblPr/>
      <w:tcPr>
        <w:vAlign w:val="center"/>
      </w:tcPr>
    </w:tblStylePr>
  </w:style>
  <w:style w:type="character" w:styleId="Strong">
    <w:name w:val="Strong"/>
    <w:uiPriority w:val="22"/>
    <w:qFormat/>
    <w:rsid w:val="002C0A2A"/>
  </w:style>
  <w:style w:type="character" w:customStyle="1" w:styleId="Heading6Char">
    <w:name w:val="Heading 6 Char"/>
    <w:basedOn w:val="DefaultParagraphFont"/>
    <w:link w:val="Heading6"/>
    <w:uiPriority w:val="9"/>
    <w:rsid w:val="00FC66BF"/>
    <w:rPr>
      <w:rFonts w:ascii="Century Gothic" w:eastAsiaTheme="majorEastAsia" w:hAnsi="Century Gothic" w:cstheme="majorBidi"/>
      <w:iCs/>
      <w:color w:val="195093"/>
      <w:sz w:val="20"/>
      <w:szCs w:val="20"/>
    </w:rPr>
  </w:style>
  <w:style w:type="character" w:styleId="FollowedHyperlink">
    <w:name w:val="FollowedHyperlink"/>
    <w:basedOn w:val="DefaultParagraphFont"/>
    <w:uiPriority w:val="99"/>
    <w:semiHidden/>
    <w:unhideWhenUsed/>
    <w:rsid w:val="008F3040"/>
    <w:rPr>
      <w:color w:val="800080" w:themeColor="followedHyperlink"/>
      <w:u w:val="single"/>
    </w:rPr>
  </w:style>
  <w:style w:type="paragraph" w:styleId="Revision">
    <w:name w:val="Revision"/>
    <w:hidden/>
    <w:uiPriority w:val="99"/>
    <w:semiHidden/>
    <w:rsid w:val="002A3191"/>
    <w:rPr>
      <w:rFonts w:ascii="Avenir Book" w:hAnsi="Avenir Book"/>
      <w:sz w:val="20"/>
    </w:rPr>
  </w:style>
  <w:style w:type="character" w:styleId="CommentReference">
    <w:name w:val="annotation reference"/>
    <w:basedOn w:val="DefaultParagraphFont"/>
    <w:uiPriority w:val="99"/>
    <w:semiHidden/>
    <w:unhideWhenUsed/>
    <w:rsid w:val="00FE2E17"/>
    <w:rPr>
      <w:sz w:val="18"/>
      <w:szCs w:val="18"/>
    </w:rPr>
  </w:style>
  <w:style w:type="paragraph" w:styleId="CommentText">
    <w:name w:val="annotation text"/>
    <w:basedOn w:val="Normal"/>
    <w:link w:val="CommentTextChar"/>
    <w:uiPriority w:val="99"/>
    <w:unhideWhenUsed/>
    <w:rsid w:val="00FE2E17"/>
    <w:pPr>
      <w:spacing w:line="240" w:lineRule="auto"/>
    </w:pPr>
    <w:rPr>
      <w:sz w:val="24"/>
    </w:rPr>
  </w:style>
  <w:style w:type="character" w:customStyle="1" w:styleId="CommentTextChar">
    <w:name w:val="Comment Text Char"/>
    <w:basedOn w:val="DefaultParagraphFont"/>
    <w:link w:val="CommentText"/>
    <w:uiPriority w:val="99"/>
    <w:rsid w:val="00FE2E17"/>
    <w:rPr>
      <w:rFonts w:ascii="Avenir Book" w:hAnsi="Avenir Book"/>
    </w:rPr>
  </w:style>
  <w:style w:type="paragraph" w:styleId="CommentSubject">
    <w:name w:val="annotation subject"/>
    <w:basedOn w:val="CommentText"/>
    <w:next w:val="CommentText"/>
    <w:link w:val="CommentSubjectChar"/>
    <w:uiPriority w:val="99"/>
    <w:semiHidden/>
    <w:unhideWhenUsed/>
    <w:rsid w:val="00FE2E17"/>
    <w:rPr>
      <w:b/>
      <w:bCs/>
      <w:sz w:val="20"/>
      <w:szCs w:val="20"/>
    </w:rPr>
  </w:style>
  <w:style w:type="character" w:customStyle="1" w:styleId="CommentSubjectChar">
    <w:name w:val="Comment Subject Char"/>
    <w:basedOn w:val="CommentTextChar"/>
    <w:link w:val="CommentSubject"/>
    <w:uiPriority w:val="99"/>
    <w:semiHidden/>
    <w:rsid w:val="00FE2E17"/>
    <w:rPr>
      <w:rFonts w:ascii="Avenir Book" w:hAnsi="Avenir Book"/>
      <w:b/>
      <w:bCs/>
      <w:sz w:val="20"/>
      <w:szCs w:val="20"/>
    </w:rPr>
  </w:style>
  <w:style w:type="character" w:customStyle="1" w:styleId="Heading7Char">
    <w:name w:val="Heading 7 Char"/>
    <w:basedOn w:val="DefaultParagraphFont"/>
    <w:link w:val="Heading7"/>
    <w:uiPriority w:val="9"/>
    <w:rsid w:val="0055158C"/>
    <w:rPr>
      <w:rFonts w:ascii="Century Gothic" w:eastAsiaTheme="majorEastAsia" w:hAnsi="Century Gothic" w:cstheme="majorBidi"/>
      <w:bCs/>
      <w:iCs/>
      <w:color w:val="FFFFFF" w:themeColor="background1"/>
      <w:sz w:val="36"/>
      <w:szCs w:val="36"/>
    </w:rPr>
  </w:style>
  <w:style w:type="character" w:customStyle="1" w:styleId="Heading8Char">
    <w:name w:val="Heading 8 Char"/>
    <w:basedOn w:val="DefaultParagraphFont"/>
    <w:link w:val="Heading8"/>
    <w:uiPriority w:val="9"/>
    <w:rsid w:val="004B3FA2"/>
    <w:rPr>
      <w:rFonts w:ascii="Century Gothic" w:eastAsiaTheme="majorEastAsia" w:hAnsi="Century Gothic" w:cstheme="majorBidi"/>
      <w:color w:val="FFFFFF" w:themeColor="background1"/>
      <w:sz w:val="20"/>
      <w:szCs w:val="20"/>
    </w:rPr>
  </w:style>
  <w:style w:type="character" w:customStyle="1" w:styleId="Heading9Char">
    <w:name w:val="Heading 9 Char"/>
    <w:basedOn w:val="DefaultParagraphFont"/>
    <w:link w:val="Heading9"/>
    <w:uiPriority w:val="9"/>
    <w:rsid w:val="002B1A75"/>
    <w:rPr>
      <w:rFonts w:ascii="Century Gothic" w:eastAsiaTheme="majorEastAsia" w:hAnsi="Century Gothic" w:cstheme="majorBidi"/>
      <w:iCs/>
      <w:color w:val="195093"/>
      <w:sz w:val="20"/>
      <w:szCs w:val="20"/>
    </w:rPr>
  </w:style>
  <w:style w:type="paragraph" w:styleId="FootnoteText">
    <w:name w:val="footnote text"/>
    <w:basedOn w:val="Normal"/>
    <w:link w:val="FootnoteTextChar"/>
    <w:uiPriority w:val="99"/>
    <w:unhideWhenUsed/>
    <w:rsid w:val="008F2279"/>
    <w:pPr>
      <w:spacing w:line="240" w:lineRule="auto"/>
    </w:pPr>
    <w:rPr>
      <w:sz w:val="24"/>
    </w:rPr>
  </w:style>
  <w:style w:type="character" w:customStyle="1" w:styleId="FootnoteTextChar">
    <w:name w:val="Footnote Text Char"/>
    <w:basedOn w:val="DefaultParagraphFont"/>
    <w:link w:val="FootnoteText"/>
    <w:uiPriority w:val="99"/>
    <w:rsid w:val="008F2279"/>
    <w:rPr>
      <w:rFonts w:ascii="Avenir Book" w:hAnsi="Avenir Book"/>
    </w:rPr>
  </w:style>
  <w:style w:type="character" w:styleId="FootnoteReference">
    <w:name w:val="footnote reference"/>
    <w:basedOn w:val="DefaultParagraphFont"/>
    <w:uiPriority w:val="99"/>
    <w:unhideWhenUsed/>
    <w:rsid w:val="008F22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AFC"/>
    <w:pPr>
      <w:spacing w:line="360" w:lineRule="auto"/>
      <w:jc w:val="both"/>
    </w:pPr>
    <w:rPr>
      <w:rFonts w:ascii="Avenir Book" w:hAnsi="Avenir Book"/>
      <w:sz w:val="20"/>
    </w:rPr>
  </w:style>
  <w:style w:type="paragraph" w:styleId="Heading1">
    <w:name w:val="heading 1"/>
    <w:basedOn w:val="Normal"/>
    <w:next w:val="Normal"/>
    <w:link w:val="Heading1Char"/>
    <w:uiPriority w:val="9"/>
    <w:qFormat/>
    <w:rsid w:val="002606ED"/>
    <w:pPr>
      <w:keepNext/>
      <w:keepLines/>
      <w:spacing w:before="480" w:after="360"/>
      <w:ind w:left="284"/>
      <w:jc w:val="left"/>
      <w:outlineLvl w:val="0"/>
    </w:pPr>
    <w:rPr>
      <w:rFonts w:ascii="Century Gothic" w:eastAsiaTheme="majorEastAsia" w:hAnsi="Century Gothic" w:cstheme="majorBidi"/>
      <w:bCs/>
      <w:color w:val="2B639C"/>
      <w:sz w:val="44"/>
      <w:szCs w:val="44"/>
    </w:rPr>
  </w:style>
  <w:style w:type="paragraph" w:styleId="Heading2">
    <w:name w:val="heading 2"/>
    <w:basedOn w:val="Heading3"/>
    <w:next w:val="Normal"/>
    <w:link w:val="Heading2Char"/>
    <w:uiPriority w:val="9"/>
    <w:unhideWhenUsed/>
    <w:qFormat/>
    <w:rsid w:val="009679FA"/>
    <w:pPr>
      <w:outlineLvl w:val="1"/>
    </w:pPr>
    <w:rPr>
      <w:color w:val="174D92"/>
      <w:sz w:val="34"/>
      <w:szCs w:val="34"/>
    </w:rPr>
  </w:style>
  <w:style w:type="paragraph" w:styleId="Heading3">
    <w:name w:val="heading 3"/>
    <w:basedOn w:val="Heading4"/>
    <w:next w:val="Normal"/>
    <w:link w:val="Heading3Char"/>
    <w:uiPriority w:val="9"/>
    <w:unhideWhenUsed/>
    <w:qFormat/>
    <w:rsid w:val="009679FA"/>
    <w:pPr>
      <w:jc w:val="left"/>
      <w:outlineLvl w:val="2"/>
    </w:pPr>
    <w:rPr>
      <w:color w:val="FFFFFF" w:themeColor="background1"/>
      <w:sz w:val="32"/>
      <w:szCs w:val="36"/>
    </w:rPr>
  </w:style>
  <w:style w:type="paragraph" w:styleId="Heading4">
    <w:name w:val="heading 4"/>
    <w:basedOn w:val="Normal"/>
    <w:next w:val="Normal"/>
    <w:link w:val="Heading4Char"/>
    <w:uiPriority w:val="9"/>
    <w:unhideWhenUsed/>
    <w:qFormat/>
    <w:rsid w:val="00E444D8"/>
    <w:pPr>
      <w:keepNext/>
      <w:keepLines/>
      <w:tabs>
        <w:tab w:val="left" w:pos="284"/>
      </w:tabs>
      <w:spacing w:before="360" w:after="120"/>
      <w:ind w:left="284" w:right="119"/>
      <w:outlineLvl w:val="3"/>
    </w:pPr>
    <w:rPr>
      <w:rFonts w:ascii="Century Gothic" w:eastAsiaTheme="majorEastAsia" w:hAnsi="Century Gothic" w:cstheme="majorBidi"/>
      <w:bCs/>
      <w:iCs/>
      <w:color w:val="194F92"/>
      <w:sz w:val="28"/>
      <w:szCs w:val="28"/>
      <w:lang w:val="en-GB"/>
    </w:rPr>
  </w:style>
  <w:style w:type="paragraph" w:styleId="Heading5">
    <w:name w:val="heading 5"/>
    <w:basedOn w:val="Heading4"/>
    <w:next w:val="Normal"/>
    <w:link w:val="Heading5Char"/>
    <w:uiPriority w:val="9"/>
    <w:unhideWhenUsed/>
    <w:qFormat/>
    <w:rsid w:val="00AD0BE0"/>
    <w:pPr>
      <w:outlineLvl w:val="4"/>
    </w:pPr>
    <w:rPr>
      <w:color w:val="595959" w:themeColor="text1" w:themeTint="A6"/>
      <w:sz w:val="24"/>
      <w:szCs w:val="24"/>
    </w:rPr>
  </w:style>
  <w:style w:type="paragraph" w:styleId="Heading6">
    <w:name w:val="heading 6"/>
    <w:basedOn w:val="Heading9"/>
    <w:next w:val="Normal"/>
    <w:link w:val="Heading6Char"/>
    <w:uiPriority w:val="9"/>
    <w:unhideWhenUsed/>
    <w:qFormat/>
    <w:rsid w:val="00FC66BF"/>
    <w:pPr>
      <w:ind w:left="284"/>
      <w:outlineLvl w:val="5"/>
    </w:pPr>
  </w:style>
  <w:style w:type="paragraph" w:styleId="Heading7">
    <w:name w:val="heading 7"/>
    <w:basedOn w:val="Heading6"/>
    <w:next w:val="Normal"/>
    <w:link w:val="Heading7Char"/>
    <w:uiPriority w:val="9"/>
    <w:unhideWhenUsed/>
    <w:qFormat/>
    <w:rsid w:val="0055158C"/>
    <w:pPr>
      <w:outlineLvl w:val="6"/>
    </w:pPr>
    <w:rPr>
      <w:color w:val="FFFFFF" w:themeColor="background1"/>
    </w:rPr>
  </w:style>
  <w:style w:type="paragraph" w:styleId="Heading8">
    <w:name w:val="heading 8"/>
    <w:basedOn w:val="Normal"/>
    <w:next w:val="Normal"/>
    <w:link w:val="Heading8Char"/>
    <w:uiPriority w:val="9"/>
    <w:unhideWhenUsed/>
    <w:qFormat/>
    <w:rsid w:val="004B3FA2"/>
    <w:pPr>
      <w:keepNext/>
      <w:keepLines/>
      <w:tabs>
        <w:tab w:val="left" w:pos="142"/>
      </w:tabs>
      <w:spacing w:before="200" w:after="120"/>
      <w:ind w:left="284"/>
      <w:outlineLvl w:val="7"/>
    </w:pPr>
    <w:rPr>
      <w:rFonts w:ascii="Century Gothic" w:eastAsiaTheme="majorEastAsia" w:hAnsi="Century Gothic" w:cstheme="majorBidi"/>
      <w:color w:val="FFFFFF" w:themeColor="background1"/>
      <w:szCs w:val="20"/>
    </w:rPr>
  </w:style>
  <w:style w:type="paragraph" w:styleId="Heading9">
    <w:name w:val="heading 9"/>
    <w:basedOn w:val="Normal"/>
    <w:next w:val="Normal"/>
    <w:link w:val="Heading9Char"/>
    <w:uiPriority w:val="9"/>
    <w:unhideWhenUsed/>
    <w:qFormat/>
    <w:rsid w:val="002B1A75"/>
    <w:pPr>
      <w:keepNext/>
      <w:keepLines/>
      <w:spacing w:before="200"/>
      <w:outlineLvl w:val="8"/>
    </w:pPr>
    <w:rPr>
      <w:rFonts w:ascii="Century Gothic" w:eastAsiaTheme="majorEastAsia" w:hAnsi="Century Gothic" w:cstheme="majorBidi"/>
      <w:iCs/>
      <w:color w:val="19509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6ED"/>
    <w:rPr>
      <w:rFonts w:ascii="Century Gothic" w:eastAsiaTheme="majorEastAsia" w:hAnsi="Century Gothic" w:cstheme="majorBidi"/>
      <w:bCs/>
      <w:color w:val="2B639C"/>
      <w:sz w:val="44"/>
      <w:szCs w:val="44"/>
    </w:rPr>
  </w:style>
  <w:style w:type="character" w:customStyle="1" w:styleId="Heading2Char">
    <w:name w:val="Heading 2 Char"/>
    <w:basedOn w:val="DefaultParagraphFont"/>
    <w:link w:val="Heading2"/>
    <w:uiPriority w:val="9"/>
    <w:rsid w:val="009679FA"/>
    <w:rPr>
      <w:rFonts w:ascii="Century Gothic" w:eastAsiaTheme="majorEastAsia" w:hAnsi="Century Gothic" w:cstheme="majorBidi"/>
      <w:bCs/>
      <w:iCs/>
      <w:color w:val="174D92"/>
      <w:sz w:val="34"/>
      <w:szCs w:val="34"/>
      <w:lang w:val="en-GB"/>
    </w:rPr>
  </w:style>
  <w:style w:type="character" w:customStyle="1" w:styleId="Heading4Char">
    <w:name w:val="Heading 4 Char"/>
    <w:basedOn w:val="DefaultParagraphFont"/>
    <w:link w:val="Heading4"/>
    <w:uiPriority w:val="9"/>
    <w:rsid w:val="00E444D8"/>
    <w:rPr>
      <w:rFonts w:ascii="Century Gothic" w:eastAsiaTheme="majorEastAsia" w:hAnsi="Century Gothic" w:cstheme="majorBidi"/>
      <w:bCs/>
      <w:iCs/>
      <w:color w:val="194F92"/>
      <w:sz w:val="28"/>
      <w:szCs w:val="28"/>
      <w:lang w:val="en-GB"/>
    </w:rPr>
  </w:style>
  <w:style w:type="character" w:styleId="SubtleEmphasis">
    <w:name w:val="Subtle Emphasis"/>
    <w:uiPriority w:val="19"/>
    <w:qFormat/>
    <w:rsid w:val="002F6CE1"/>
    <w:rPr>
      <w:i/>
    </w:rPr>
  </w:style>
  <w:style w:type="table" w:styleId="TableGrid">
    <w:name w:val="Table Grid"/>
    <w:basedOn w:val="TableNormal"/>
    <w:uiPriority w:val="59"/>
    <w:rsid w:val="007C5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Paragraph"/>
    <w:uiPriority w:val="1"/>
    <w:qFormat/>
    <w:rsid w:val="00D24BD0"/>
    <w:pPr>
      <w:spacing w:before="240" w:after="120" w:line="360" w:lineRule="auto"/>
      <w:jc w:val="both"/>
    </w:pPr>
    <w:rPr>
      <w:rFonts w:ascii="Avenir Book" w:hAnsi="Avenir Book"/>
      <w:sz w:val="20"/>
    </w:rPr>
  </w:style>
  <w:style w:type="paragraph" w:styleId="Quote">
    <w:name w:val="Quote"/>
    <w:basedOn w:val="Normal"/>
    <w:next w:val="Normal"/>
    <w:link w:val="QuoteChar"/>
    <w:uiPriority w:val="29"/>
    <w:qFormat/>
    <w:rsid w:val="00B65E4B"/>
    <w:pPr>
      <w:spacing w:before="180" w:after="180"/>
      <w:ind w:left="720" w:right="697"/>
    </w:pPr>
    <w:rPr>
      <w:iCs/>
      <w:color w:val="194F92"/>
      <w:lang w:val="en-US"/>
    </w:rPr>
  </w:style>
  <w:style w:type="character" w:customStyle="1" w:styleId="QuoteChar">
    <w:name w:val="Quote Char"/>
    <w:basedOn w:val="DefaultParagraphFont"/>
    <w:link w:val="Quote"/>
    <w:uiPriority w:val="29"/>
    <w:rsid w:val="00B65E4B"/>
    <w:rPr>
      <w:rFonts w:ascii="Avenir Book" w:hAnsi="Avenir Book"/>
      <w:iCs/>
      <w:color w:val="194F92"/>
      <w:sz w:val="20"/>
      <w:lang w:val="en-US"/>
    </w:rPr>
  </w:style>
  <w:style w:type="character" w:customStyle="1" w:styleId="apple-converted-space">
    <w:name w:val="apple-converted-space"/>
    <w:basedOn w:val="DefaultParagraphFont"/>
    <w:rsid w:val="005311A8"/>
  </w:style>
  <w:style w:type="paragraph" w:styleId="Header">
    <w:name w:val="header"/>
    <w:basedOn w:val="Normal"/>
    <w:link w:val="HeaderChar"/>
    <w:uiPriority w:val="99"/>
    <w:unhideWhenUsed/>
    <w:rsid w:val="00CE5890"/>
    <w:pPr>
      <w:tabs>
        <w:tab w:val="center" w:pos="4320"/>
        <w:tab w:val="right" w:pos="8640"/>
      </w:tabs>
      <w:spacing w:line="240" w:lineRule="auto"/>
    </w:pPr>
  </w:style>
  <w:style w:type="character" w:customStyle="1" w:styleId="HeaderChar">
    <w:name w:val="Header Char"/>
    <w:basedOn w:val="DefaultParagraphFont"/>
    <w:link w:val="Header"/>
    <w:uiPriority w:val="99"/>
    <w:rsid w:val="00CE5890"/>
    <w:rPr>
      <w:rFonts w:ascii="Avenir Book" w:hAnsi="Avenir Book"/>
    </w:rPr>
  </w:style>
  <w:style w:type="paragraph" w:styleId="Footer">
    <w:name w:val="footer"/>
    <w:basedOn w:val="Normal"/>
    <w:link w:val="FooterChar"/>
    <w:uiPriority w:val="99"/>
    <w:unhideWhenUsed/>
    <w:rsid w:val="00CE5890"/>
    <w:pPr>
      <w:tabs>
        <w:tab w:val="center" w:pos="4320"/>
        <w:tab w:val="right" w:pos="8640"/>
      </w:tabs>
      <w:spacing w:line="240" w:lineRule="auto"/>
    </w:pPr>
  </w:style>
  <w:style w:type="character" w:customStyle="1" w:styleId="FooterChar">
    <w:name w:val="Footer Char"/>
    <w:basedOn w:val="DefaultParagraphFont"/>
    <w:link w:val="Footer"/>
    <w:uiPriority w:val="99"/>
    <w:rsid w:val="00CE5890"/>
    <w:rPr>
      <w:rFonts w:ascii="Avenir Book" w:hAnsi="Avenir Book"/>
    </w:rPr>
  </w:style>
  <w:style w:type="character" w:styleId="PageNumber">
    <w:name w:val="page number"/>
    <w:basedOn w:val="DefaultParagraphFont"/>
    <w:uiPriority w:val="99"/>
    <w:semiHidden/>
    <w:unhideWhenUsed/>
    <w:rsid w:val="00CE5890"/>
  </w:style>
  <w:style w:type="paragraph" w:styleId="Title">
    <w:name w:val="Title"/>
    <w:basedOn w:val="Heading1"/>
    <w:next w:val="Normal"/>
    <w:link w:val="TitleChar"/>
    <w:uiPriority w:val="10"/>
    <w:qFormat/>
    <w:rsid w:val="00B5466F"/>
    <w:pPr>
      <w:spacing w:before="360"/>
      <w:ind w:left="2880"/>
    </w:pPr>
    <w:rPr>
      <w:sz w:val="72"/>
      <w:szCs w:val="72"/>
    </w:rPr>
  </w:style>
  <w:style w:type="character" w:customStyle="1" w:styleId="TitleChar">
    <w:name w:val="Title Char"/>
    <w:basedOn w:val="DefaultParagraphFont"/>
    <w:link w:val="Title"/>
    <w:uiPriority w:val="10"/>
    <w:rsid w:val="00B5466F"/>
    <w:rPr>
      <w:rFonts w:ascii="Century Gothic" w:eastAsiaTheme="majorEastAsia" w:hAnsi="Century Gothic" w:cstheme="majorBidi"/>
      <w:bCs/>
      <w:color w:val="2B639C"/>
      <w:sz w:val="72"/>
      <w:szCs w:val="72"/>
      <w:lang w:val="en-US"/>
    </w:rPr>
  </w:style>
  <w:style w:type="paragraph" w:styleId="Subtitle">
    <w:name w:val="Subtitle"/>
    <w:basedOn w:val="Normal"/>
    <w:next w:val="Normal"/>
    <w:link w:val="SubtitleChar"/>
    <w:uiPriority w:val="11"/>
    <w:qFormat/>
    <w:rsid w:val="00256F00"/>
    <w:pPr>
      <w:ind w:left="2880"/>
    </w:pPr>
    <w:rPr>
      <w:color w:val="2B639C"/>
    </w:rPr>
  </w:style>
  <w:style w:type="character" w:customStyle="1" w:styleId="SubtitleChar">
    <w:name w:val="Subtitle Char"/>
    <w:basedOn w:val="DefaultParagraphFont"/>
    <w:link w:val="Subtitle"/>
    <w:uiPriority w:val="11"/>
    <w:rsid w:val="00256F00"/>
    <w:rPr>
      <w:rFonts w:ascii="Avenir Book" w:hAnsi="Avenir Book"/>
      <w:color w:val="2B639C"/>
    </w:rPr>
  </w:style>
  <w:style w:type="paragraph" w:styleId="BalloonText">
    <w:name w:val="Balloon Text"/>
    <w:basedOn w:val="Normal"/>
    <w:link w:val="BalloonTextChar"/>
    <w:uiPriority w:val="99"/>
    <w:semiHidden/>
    <w:unhideWhenUsed/>
    <w:rsid w:val="00EF18C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18C6"/>
    <w:rPr>
      <w:rFonts w:ascii="Lucida Grande" w:hAnsi="Lucida Grande" w:cs="Lucida Grande"/>
      <w:sz w:val="18"/>
      <w:szCs w:val="18"/>
    </w:rPr>
  </w:style>
  <w:style w:type="character" w:customStyle="1" w:styleId="Heading5Char">
    <w:name w:val="Heading 5 Char"/>
    <w:basedOn w:val="DefaultParagraphFont"/>
    <w:link w:val="Heading5"/>
    <w:uiPriority w:val="9"/>
    <w:rsid w:val="00AD0BE0"/>
    <w:rPr>
      <w:rFonts w:ascii="Century Gothic" w:eastAsiaTheme="majorEastAsia" w:hAnsi="Century Gothic" w:cstheme="majorBidi"/>
      <w:bCs/>
      <w:iCs/>
      <w:color w:val="595959" w:themeColor="text1" w:themeTint="A6"/>
      <w:lang w:val="en-GB"/>
    </w:rPr>
  </w:style>
  <w:style w:type="paragraph" w:styleId="TOCHeading">
    <w:name w:val="TOC Heading"/>
    <w:basedOn w:val="Heading1"/>
    <w:next w:val="Normal"/>
    <w:uiPriority w:val="39"/>
    <w:unhideWhenUsed/>
    <w:qFormat/>
    <w:rsid w:val="002C0A2A"/>
  </w:style>
  <w:style w:type="paragraph" w:styleId="TOC2">
    <w:name w:val="toc 2"/>
    <w:basedOn w:val="Normal"/>
    <w:next w:val="Normal"/>
    <w:autoRedefine/>
    <w:uiPriority w:val="39"/>
    <w:unhideWhenUsed/>
    <w:rsid w:val="00630A81"/>
    <w:pPr>
      <w:tabs>
        <w:tab w:val="right" w:leader="dot" w:pos="9010"/>
      </w:tabs>
      <w:jc w:val="left"/>
    </w:pPr>
    <w:rPr>
      <w:rFonts w:ascii="Century Gothic" w:hAnsi="Century Gothic"/>
      <w:noProof/>
      <w:color w:val="808080" w:themeColor="background1" w:themeShade="80"/>
      <w:sz w:val="22"/>
      <w:szCs w:val="22"/>
      <w:lang w:val="en-AU"/>
    </w:rPr>
  </w:style>
  <w:style w:type="paragraph" w:styleId="TOC1">
    <w:name w:val="toc 1"/>
    <w:basedOn w:val="Normal"/>
    <w:next w:val="Normal"/>
    <w:autoRedefine/>
    <w:uiPriority w:val="39"/>
    <w:unhideWhenUsed/>
    <w:rsid w:val="00630A81"/>
    <w:pPr>
      <w:tabs>
        <w:tab w:val="right" w:leader="dot" w:pos="9010"/>
      </w:tabs>
      <w:spacing w:before="120"/>
      <w:jc w:val="left"/>
    </w:pPr>
    <w:rPr>
      <w:rFonts w:ascii="Century Gothic" w:hAnsi="Century Gothic"/>
      <w:noProof/>
      <w:color w:val="1A5092"/>
      <w:sz w:val="22"/>
      <w:szCs w:val="22"/>
      <w:lang w:val="en-AU"/>
    </w:rPr>
  </w:style>
  <w:style w:type="paragraph" w:styleId="TOC3">
    <w:name w:val="toc 3"/>
    <w:basedOn w:val="Normal"/>
    <w:next w:val="Normal"/>
    <w:autoRedefine/>
    <w:uiPriority w:val="39"/>
    <w:unhideWhenUsed/>
    <w:rsid w:val="00630A81"/>
    <w:pPr>
      <w:ind w:left="200"/>
      <w:jc w:val="left"/>
    </w:pPr>
    <w:rPr>
      <w:rFonts w:ascii="Century Gothic" w:hAnsi="Century Gothic"/>
      <w:sz w:val="22"/>
      <w:szCs w:val="22"/>
    </w:rPr>
  </w:style>
  <w:style w:type="paragraph" w:styleId="TOC4">
    <w:name w:val="toc 4"/>
    <w:basedOn w:val="Normal"/>
    <w:next w:val="Normal"/>
    <w:autoRedefine/>
    <w:uiPriority w:val="39"/>
    <w:unhideWhenUsed/>
    <w:rsid w:val="004B505F"/>
    <w:pPr>
      <w:pBdr>
        <w:between w:val="double" w:sz="6" w:space="0" w:color="auto"/>
      </w:pBdr>
      <w:ind w:left="400"/>
      <w:jc w:val="left"/>
    </w:pPr>
    <w:rPr>
      <w:rFonts w:asciiTheme="minorHAnsi" w:hAnsiTheme="minorHAnsi"/>
      <w:szCs w:val="20"/>
    </w:rPr>
  </w:style>
  <w:style w:type="paragraph" w:styleId="TOC5">
    <w:name w:val="toc 5"/>
    <w:basedOn w:val="Normal"/>
    <w:next w:val="Normal"/>
    <w:autoRedefine/>
    <w:uiPriority w:val="39"/>
    <w:unhideWhenUsed/>
    <w:rsid w:val="004B505F"/>
    <w:pPr>
      <w:pBdr>
        <w:between w:val="double" w:sz="6" w:space="0" w:color="auto"/>
      </w:pBdr>
      <w:ind w:left="600"/>
      <w:jc w:val="left"/>
    </w:pPr>
    <w:rPr>
      <w:rFonts w:asciiTheme="minorHAnsi" w:hAnsiTheme="minorHAnsi"/>
      <w:szCs w:val="20"/>
    </w:rPr>
  </w:style>
  <w:style w:type="paragraph" w:styleId="TOC6">
    <w:name w:val="toc 6"/>
    <w:basedOn w:val="Normal"/>
    <w:next w:val="Normal"/>
    <w:autoRedefine/>
    <w:uiPriority w:val="39"/>
    <w:unhideWhenUsed/>
    <w:rsid w:val="004B505F"/>
    <w:pPr>
      <w:pBdr>
        <w:between w:val="double" w:sz="6" w:space="0" w:color="auto"/>
      </w:pBdr>
      <w:ind w:left="800"/>
      <w:jc w:val="left"/>
    </w:pPr>
    <w:rPr>
      <w:rFonts w:asciiTheme="minorHAnsi" w:hAnsiTheme="minorHAnsi"/>
      <w:szCs w:val="20"/>
    </w:rPr>
  </w:style>
  <w:style w:type="paragraph" w:styleId="TOC7">
    <w:name w:val="toc 7"/>
    <w:basedOn w:val="Normal"/>
    <w:next w:val="Normal"/>
    <w:autoRedefine/>
    <w:uiPriority w:val="39"/>
    <w:unhideWhenUsed/>
    <w:rsid w:val="004B505F"/>
    <w:pPr>
      <w:pBdr>
        <w:between w:val="double" w:sz="6" w:space="0" w:color="auto"/>
      </w:pBdr>
      <w:ind w:left="1000"/>
      <w:jc w:val="left"/>
    </w:pPr>
    <w:rPr>
      <w:rFonts w:asciiTheme="minorHAnsi" w:hAnsiTheme="minorHAnsi"/>
      <w:szCs w:val="20"/>
    </w:rPr>
  </w:style>
  <w:style w:type="paragraph" w:styleId="TOC8">
    <w:name w:val="toc 8"/>
    <w:basedOn w:val="Normal"/>
    <w:next w:val="Normal"/>
    <w:autoRedefine/>
    <w:uiPriority w:val="39"/>
    <w:unhideWhenUsed/>
    <w:rsid w:val="004B505F"/>
    <w:pPr>
      <w:pBdr>
        <w:between w:val="double" w:sz="6" w:space="0" w:color="auto"/>
      </w:pBdr>
      <w:ind w:left="1200"/>
      <w:jc w:val="left"/>
    </w:pPr>
    <w:rPr>
      <w:rFonts w:asciiTheme="minorHAnsi" w:hAnsiTheme="minorHAnsi"/>
      <w:szCs w:val="20"/>
    </w:rPr>
  </w:style>
  <w:style w:type="paragraph" w:styleId="TOC9">
    <w:name w:val="toc 9"/>
    <w:basedOn w:val="Normal"/>
    <w:next w:val="Normal"/>
    <w:autoRedefine/>
    <w:uiPriority w:val="39"/>
    <w:unhideWhenUsed/>
    <w:rsid w:val="004B505F"/>
    <w:pPr>
      <w:pBdr>
        <w:between w:val="double" w:sz="6" w:space="0" w:color="auto"/>
      </w:pBdr>
      <w:ind w:left="1400"/>
      <w:jc w:val="left"/>
    </w:pPr>
    <w:rPr>
      <w:rFonts w:asciiTheme="minorHAnsi" w:hAnsiTheme="minorHAnsi"/>
      <w:szCs w:val="20"/>
    </w:rPr>
  </w:style>
  <w:style w:type="character" w:styleId="Emphasis">
    <w:name w:val="Emphasis"/>
    <w:uiPriority w:val="20"/>
    <w:qFormat/>
    <w:rsid w:val="00E27853"/>
    <w:rPr>
      <w:color w:val="1D5592"/>
      <w:sz w:val="24"/>
    </w:rPr>
  </w:style>
  <w:style w:type="character" w:styleId="Hyperlink">
    <w:name w:val="Hyperlink"/>
    <w:basedOn w:val="DefaultParagraphFont"/>
    <w:uiPriority w:val="99"/>
    <w:unhideWhenUsed/>
    <w:rsid w:val="001737C3"/>
    <w:rPr>
      <w:color w:val="0000FF" w:themeColor="hyperlink"/>
      <w:u w:val="single"/>
    </w:rPr>
  </w:style>
  <w:style w:type="character" w:customStyle="1" w:styleId="Heading3Char">
    <w:name w:val="Heading 3 Char"/>
    <w:basedOn w:val="DefaultParagraphFont"/>
    <w:link w:val="Heading3"/>
    <w:uiPriority w:val="9"/>
    <w:rsid w:val="009679FA"/>
    <w:rPr>
      <w:rFonts w:ascii="Century Gothic" w:eastAsiaTheme="majorEastAsia" w:hAnsi="Century Gothic" w:cstheme="majorBidi"/>
      <w:bCs/>
      <w:iCs/>
      <w:color w:val="FFFFFF" w:themeColor="background1"/>
      <w:sz w:val="32"/>
      <w:szCs w:val="36"/>
      <w:lang w:val="en-GB"/>
    </w:rPr>
  </w:style>
  <w:style w:type="character" w:styleId="IntenseEmphasis">
    <w:name w:val="Intense Emphasis"/>
    <w:uiPriority w:val="21"/>
    <w:qFormat/>
    <w:rsid w:val="00507BE5"/>
    <w:rPr>
      <w:rFonts w:eastAsia="MS PMincho" w:cs="Times New Roman"/>
      <w:color w:val="FFFFFF" w:themeColor="background1"/>
      <w:sz w:val="48"/>
      <w:szCs w:val="48"/>
      <w:lang w:val="en-GB"/>
    </w:rPr>
  </w:style>
  <w:style w:type="paragraph" w:styleId="ListParagraph">
    <w:name w:val="List Paragraph"/>
    <w:aliases w:val="References"/>
    <w:basedOn w:val="NoSpacing"/>
    <w:uiPriority w:val="34"/>
    <w:qFormat/>
    <w:rsid w:val="00AB685C"/>
    <w:pPr>
      <w:ind w:left="720" w:hanging="720"/>
      <w:jc w:val="left"/>
    </w:pPr>
  </w:style>
  <w:style w:type="table" w:customStyle="1" w:styleId="PlainTable11">
    <w:name w:val="Plain Table 11"/>
    <w:basedOn w:val="TableNormal"/>
    <w:uiPriority w:val="99"/>
    <w:rsid w:val="008154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99"/>
    <w:rsid w:val="008154C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7Colorful-Accent61">
    <w:name w:val="List Table 7 Colorful - Accent 61"/>
    <w:basedOn w:val="TableNormal"/>
    <w:uiPriority w:val="52"/>
    <w:rsid w:val="008154C5"/>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1">
    <w:name w:val="Style1"/>
    <w:basedOn w:val="TableNormal"/>
    <w:uiPriority w:val="99"/>
    <w:rsid w:val="00922B30"/>
    <w:tblP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Pr>
    <w:tcPr>
      <w:shd w:val="clear" w:color="auto" w:fill="E2E6EF"/>
    </w:tcPr>
  </w:style>
  <w:style w:type="table" w:customStyle="1" w:styleId="Style2">
    <w:name w:val="Style2"/>
    <w:basedOn w:val="TableNormal"/>
    <w:uiPriority w:val="99"/>
    <w:rsid w:val="008154C5"/>
    <w:tblPr>
      <w:tblBorders>
        <w:top w:val="single" w:sz="4" w:space="0" w:color="DED4CF"/>
        <w:left w:val="single" w:sz="4" w:space="0" w:color="DED4CF"/>
        <w:bottom w:val="single" w:sz="4" w:space="0" w:color="DED4CF"/>
        <w:right w:val="single" w:sz="4" w:space="0" w:color="DED4CF"/>
        <w:insideH w:val="single" w:sz="4" w:space="0" w:color="DED4CF"/>
        <w:insideV w:val="single" w:sz="4" w:space="0" w:color="DED4CF"/>
      </w:tblBorders>
    </w:tblPr>
    <w:tcPr>
      <w:shd w:val="clear" w:color="auto" w:fill="DED4CF"/>
    </w:tcPr>
  </w:style>
  <w:style w:type="table" w:customStyle="1" w:styleId="Style3">
    <w:name w:val="Style3"/>
    <w:basedOn w:val="TableNormal"/>
    <w:uiPriority w:val="99"/>
    <w:rsid w:val="008154C5"/>
    <w:tblPr>
      <w:tblBorders>
        <w:top w:val="single" w:sz="4" w:space="0" w:color="AB9E92"/>
        <w:left w:val="single" w:sz="4" w:space="0" w:color="AB9E92"/>
        <w:bottom w:val="single" w:sz="4" w:space="0" w:color="AB9E92"/>
        <w:right w:val="single" w:sz="4" w:space="0" w:color="AB9E92"/>
        <w:insideH w:val="single" w:sz="4" w:space="0" w:color="AB9E92"/>
        <w:insideV w:val="single" w:sz="4" w:space="0" w:color="AB9E92"/>
      </w:tblBorders>
    </w:tblPr>
    <w:tcPr>
      <w:shd w:val="clear" w:color="auto" w:fill="AB9E92"/>
    </w:tcPr>
  </w:style>
  <w:style w:type="table" w:customStyle="1" w:styleId="Style4">
    <w:name w:val="Style4"/>
    <w:basedOn w:val="TableNormal"/>
    <w:uiPriority w:val="99"/>
    <w:rsid w:val="003F3B7E"/>
    <w:tblPr>
      <w:tblBorders>
        <w:insideH w:val="single" w:sz="36" w:space="0" w:color="FFFFFF" w:themeColor="background1"/>
        <w:insideV w:val="single" w:sz="36" w:space="0" w:color="FFFFFF" w:themeColor="background1"/>
      </w:tblBorders>
    </w:tblPr>
    <w:tcPr>
      <w:shd w:val="clear" w:color="auto" w:fill="F8F7FC"/>
    </w:tcPr>
    <w:tblStylePr w:type="firstRow">
      <w:tblPr/>
      <w:tcPr>
        <w:shd w:val="clear" w:color="auto" w:fill="DDE1E9"/>
      </w:tcPr>
    </w:tblStylePr>
  </w:style>
  <w:style w:type="table" w:customStyle="1" w:styleId="Style5">
    <w:name w:val="Style5"/>
    <w:basedOn w:val="TableNormal"/>
    <w:uiPriority w:val="99"/>
    <w:rsid w:val="00CD1BD0"/>
    <w:tblP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Pr>
    <w:tcPr>
      <w:shd w:val="clear" w:color="auto" w:fill="DDE1E9"/>
    </w:tcPr>
  </w:style>
  <w:style w:type="table" w:customStyle="1" w:styleId="Style6">
    <w:name w:val="Style6"/>
    <w:basedOn w:val="TableNormal"/>
    <w:uiPriority w:val="99"/>
    <w:rsid w:val="00CE6869"/>
    <w:tblPr>
      <w:tblBorders>
        <w:top w:val="single" w:sz="36" w:space="0" w:color="FFFFFF" w:themeColor="background1"/>
        <w:left w:val="single" w:sz="36" w:space="0" w:color="FFFFFF" w:themeColor="background1"/>
        <w:bottom w:val="single" w:sz="36" w:space="0" w:color="FFFFFF" w:themeColor="background1"/>
        <w:right w:val="single" w:sz="36" w:space="0" w:color="FFFFFF" w:themeColor="background1"/>
        <w:insideH w:val="single" w:sz="36" w:space="0" w:color="FFFFFF" w:themeColor="background1"/>
        <w:insideV w:val="single" w:sz="36" w:space="0" w:color="FFFFFF" w:themeColor="background1"/>
      </w:tblBorders>
    </w:tblPr>
    <w:tcPr>
      <w:shd w:val="clear" w:color="auto" w:fill="DED4CF"/>
    </w:tcPr>
    <w:tblStylePr w:type="firstCol">
      <w:pPr>
        <w:wordWrap/>
        <w:jc w:val="center"/>
      </w:pPr>
      <w:tblPr/>
      <w:tcPr>
        <w:vAlign w:val="center"/>
      </w:tcPr>
    </w:tblStylePr>
  </w:style>
  <w:style w:type="character" w:styleId="Strong">
    <w:name w:val="Strong"/>
    <w:uiPriority w:val="22"/>
    <w:qFormat/>
    <w:rsid w:val="002C0A2A"/>
  </w:style>
  <w:style w:type="character" w:customStyle="1" w:styleId="Heading6Char">
    <w:name w:val="Heading 6 Char"/>
    <w:basedOn w:val="DefaultParagraphFont"/>
    <w:link w:val="Heading6"/>
    <w:uiPriority w:val="9"/>
    <w:rsid w:val="00FC66BF"/>
    <w:rPr>
      <w:rFonts w:ascii="Century Gothic" w:eastAsiaTheme="majorEastAsia" w:hAnsi="Century Gothic" w:cstheme="majorBidi"/>
      <w:iCs/>
      <w:color w:val="195093"/>
      <w:sz w:val="20"/>
      <w:szCs w:val="20"/>
    </w:rPr>
  </w:style>
  <w:style w:type="character" w:styleId="FollowedHyperlink">
    <w:name w:val="FollowedHyperlink"/>
    <w:basedOn w:val="DefaultParagraphFont"/>
    <w:uiPriority w:val="99"/>
    <w:semiHidden/>
    <w:unhideWhenUsed/>
    <w:rsid w:val="008F3040"/>
    <w:rPr>
      <w:color w:val="800080" w:themeColor="followedHyperlink"/>
      <w:u w:val="single"/>
    </w:rPr>
  </w:style>
  <w:style w:type="paragraph" w:styleId="Revision">
    <w:name w:val="Revision"/>
    <w:hidden/>
    <w:uiPriority w:val="99"/>
    <w:semiHidden/>
    <w:rsid w:val="002A3191"/>
    <w:rPr>
      <w:rFonts w:ascii="Avenir Book" w:hAnsi="Avenir Book"/>
      <w:sz w:val="20"/>
    </w:rPr>
  </w:style>
  <w:style w:type="character" w:styleId="CommentReference">
    <w:name w:val="annotation reference"/>
    <w:basedOn w:val="DefaultParagraphFont"/>
    <w:uiPriority w:val="99"/>
    <w:semiHidden/>
    <w:unhideWhenUsed/>
    <w:rsid w:val="00FE2E17"/>
    <w:rPr>
      <w:sz w:val="18"/>
      <w:szCs w:val="18"/>
    </w:rPr>
  </w:style>
  <w:style w:type="paragraph" w:styleId="CommentText">
    <w:name w:val="annotation text"/>
    <w:basedOn w:val="Normal"/>
    <w:link w:val="CommentTextChar"/>
    <w:uiPriority w:val="99"/>
    <w:unhideWhenUsed/>
    <w:rsid w:val="00FE2E17"/>
    <w:pPr>
      <w:spacing w:line="240" w:lineRule="auto"/>
    </w:pPr>
    <w:rPr>
      <w:sz w:val="24"/>
    </w:rPr>
  </w:style>
  <w:style w:type="character" w:customStyle="1" w:styleId="CommentTextChar">
    <w:name w:val="Comment Text Char"/>
    <w:basedOn w:val="DefaultParagraphFont"/>
    <w:link w:val="CommentText"/>
    <w:uiPriority w:val="99"/>
    <w:rsid w:val="00FE2E17"/>
    <w:rPr>
      <w:rFonts w:ascii="Avenir Book" w:hAnsi="Avenir Book"/>
    </w:rPr>
  </w:style>
  <w:style w:type="paragraph" w:styleId="CommentSubject">
    <w:name w:val="annotation subject"/>
    <w:basedOn w:val="CommentText"/>
    <w:next w:val="CommentText"/>
    <w:link w:val="CommentSubjectChar"/>
    <w:uiPriority w:val="99"/>
    <w:semiHidden/>
    <w:unhideWhenUsed/>
    <w:rsid w:val="00FE2E17"/>
    <w:rPr>
      <w:b/>
      <w:bCs/>
      <w:sz w:val="20"/>
      <w:szCs w:val="20"/>
    </w:rPr>
  </w:style>
  <w:style w:type="character" w:customStyle="1" w:styleId="CommentSubjectChar">
    <w:name w:val="Comment Subject Char"/>
    <w:basedOn w:val="CommentTextChar"/>
    <w:link w:val="CommentSubject"/>
    <w:uiPriority w:val="99"/>
    <w:semiHidden/>
    <w:rsid w:val="00FE2E17"/>
    <w:rPr>
      <w:rFonts w:ascii="Avenir Book" w:hAnsi="Avenir Book"/>
      <w:b/>
      <w:bCs/>
      <w:sz w:val="20"/>
      <w:szCs w:val="20"/>
    </w:rPr>
  </w:style>
  <w:style w:type="character" w:customStyle="1" w:styleId="Heading7Char">
    <w:name w:val="Heading 7 Char"/>
    <w:basedOn w:val="DefaultParagraphFont"/>
    <w:link w:val="Heading7"/>
    <w:uiPriority w:val="9"/>
    <w:rsid w:val="0055158C"/>
    <w:rPr>
      <w:rFonts w:ascii="Century Gothic" w:eastAsiaTheme="majorEastAsia" w:hAnsi="Century Gothic" w:cstheme="majorBidi"/>
      <w:bCs/>
      <w:iCs/>
      <w:color w:val="FFFFFF" w:themeColor="background1"/>
      <w:sz w:val="36"/>
      <w:szCs w:val="36"/>
    </w:rPr>
  </w:style>
  <w:style w:type="character" w:customStyle="1" w:styleId="Heading8Char">
    <w:name w:val="Heading 8 Char"/>
    <w:basedOn w:val="DefaultParagraphFont"/>
    <w:link w:val="Heading8"/>
    <w:uiPriority w:val="9"/>
    <w:rsid w:val="004B3FA2"/>
    <w:rPr>
      <w:rFonts w:ascii="Century Gothic" w:eastAsiaTheme="majorEastAsia" w:hAnsi="Century Gothic" w:cstheme="majorBidi"/>
      <w:color w:val="FFFFFF" w:themeColor="background1"/>
      <w:sz w:val="20"/>
      <w:szCs w:val="20"/>
    </w:rPr>
  </w:style>
  <w:style w:type="character" w:customStyle="1" w:styleId="Heading9Char">
    <w:name w:val="Heading 9 Char"/>
    <w:basedOn w:val="DefaultParagraphFont"/>
    <w:link w:val="Heading9"/>
    <w:uiPriority w:val="9"/>
    <w:rsid w:val="002B1A75"/>
    <w:rPr>
      <w:rFonts w:ascii="Century Gothic" w:eastAsiaTheme="majorEastAsia" w:hAnsi="Century Gothic" w:cstheme="majorBidi"/>
      <w:iCs/>
      <w:color w:val="195093"/>
      <w:sz w:val="20"/>
      <w:szCs w:val="20"/>
    </w:rPr>
  </w:style>
  <w:style w:type="paragraph" w:styleId="FootnoteText">
    <w:name w:val="footnote text"/>
    <w:basedOn w:val="Normal"/>
    <w:link w:val="FootnoteTextChar"/>
    <w:uiPriority w:val="99"/>
    <w:unhideWhenUsed/>
    <w:rsid w:val="008F2279"/>
    <w:pPr>
      <w:spacing w:line="240" w:lineRule="auto"/>
    </w:pPr>
    <w:rPr>
      <w:sz w:val="24"/>
    </w:rPr>
  </w:style>
  <w:style w:type="character" w:customStyle="1" w:styleId="FootnoteTextChar">
    <w:name w:val="Footnote Text Char"/>
    <w:basedOn w:val="DefaultParagraphFont"/>
    <w:link w:val="FootnoteText"/>
    <w:uiPriority w:val="99"/>
    <w:rsid w:val="008F2279"/>
    <w:rPr>
      <w:rFonts w:ascii="Avenir Book" w:hAnsi="Avenir Book"/>
    </w:rPr>
  </w:style>
  <w:style w:type="character" w:styleId="FootnoteReference">
    <w:name w:val="footnote reference"/>
    <w:basedOn w:val="DefaultParagraphFont"/>
    <w:uiPriority w:val="99"/>
    <w:unhideWhenUsed/>
    <w:rsid w:val="008F22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6415">
      <w:bodyDiv w:val="1"/>
      <w:marLeft w:val="0"/>
      <w:marRight w:val="0"/>
      <w:marTop w:val="0"/>
      <w:marBottom w:val="0"/>
      <w:divBdr>
        <w:top w:val="none" w:sz="0" w:space="0" w:color="auto"/>
        <w:left w:val="none" w:sz="0" w:space="0" w:color="auto"/>
        <w:bottom w:val="none" w:sz="0" w:space="0" w:color="auto"/>
        <w:right w:val="none" w:sz="0" w:space="0" w:color="auto"/>
      </w:divBdr>
      <w:divsChild>
        <w:div w:id="2143843726">
          <w:marLeft w:val="0"/>
          <w:marRight w:val="0"/>
          <w:marTop w:val="0"/>
          <w:marBottom w:val="0"/>
          <w:divBdr>
            <w:top w:val="none" w:sz="0" w:space="0" w:color="auto"/>
            <w:left w:val="none" w:sz="0" w:space="0" w:color="auto"/>
            <w:bottom w:val="none" w:sz="0" w:space="0" w:color="auto"/>
            <w:right w:val="none" w:sz="0" w:space="0" w:color="auto"/>
          </w:divBdr>
          <w:divsChild>
            <w:div w:id="133788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5610">
      <w:bodyDiv w:val="1"/>
      <w:marLeft w:val="0"/>
      <w:marRight w:val="0"/>
      <w:marTop w:val="0"/>
      <w:marBottom w:val="0"/>
      <w:divBdr>
        <w:top w:val="none" w:sz="0" w:space="0" w:color="auto"/>
        <w:left w:val="none" w:sz="0" w:space="0" w:color="auto"/>
        <w:bottom w:val="none" w:sz="0" w:space="0" w:color="auto"/>
        <w:right w:val="none" w:sz="0" w:space="0" w:color="auto"/>
      </w:divBdr>
      <w:divsChild>
        <w:div w:id="113139352">
          <w:marLeft w:val="0"/>
          <w:marRight w:val="0"/>
          <w:marTop w:val="0"/>
          <w:marBottom w:val="0"/>
          <w:divBdr>
            <w:top w:val="none" w:sz="0" w:space="0" w:color="auto"/>
            <w:left w:val="none" w:sz="0" w:space="0" w:color="auto"/>
            <w:bottom w:val="none" w:sz="0" w:space="0" w:color="auto"/>
            <w:right w:val="none" w:sz="0" w:space="0" w:color="auto"/>
          </w:divBdr>
          <w:divsChild>
            <w:div w:id="47376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4521">
      <w:bodyDiv w:val="1"/>
      <w:marLeft w:val="0"/>
      <w:marRight w:val="0"/>
      <w:marTop w:val="0"/>
      <w:marBottom w:val="0"/>
      <w:divBdr>
        <w:top w:val="none" w:sz="0" w:space="0" w:color="auto"/>
        <w:left w:val="none" w:sz="0" w:space="0" w:color="auto"/>
        <w:bottom w:val="none" w:sz="0" w:space="0" w:color="auto"/>
        <w:right w:val="none" w:sz="0" w:space="0" w:color="auto"/>
      </w:divBdr>
    </w:div>
    <w:div w:id="322123348">
      <w:bodyDiv w:val="1"/>
      <w:marLeft w:val="0"/>
      <w:marRight w:val="0"/>
      <w:marTop w:val="0"/>
      <w:marBottom w:val="0"/>
      <w:divBdr>
        <w:top w:val="none" w:sz="0" w:space="0" w:color="auto"/>
        <w:left w:val="none" w:sz="0" w:space="0" w:color="auto"/>
        <w:bottom w:val="none" w:sz="0" w:space="0" w:color="auto"/>
        <w:right w:val="none" w:sz="0" w:space="0" w:color="auto"/>
      </w:divBdr>
      <w:divsChild>
        <w:div w:id="634216719">
          <w:marLeft w:val="0"/>
          <w:marRight w:val="0"/>
          <w:marTop w:val="0"/>
          <w:marBottom w:val="0"/>
          <w:divBdr>
            <w:top w:val="none" w:sz="0" w:space="0" w:color="auto"/>
            <w:left w:val="none" w:sz="0" w:space="0" w:color="auto"/>
            <w:bottom w:val="none" w:sz="0" w:space="0" w:color="auto"/>
            <w:right w:val="none" w:sz="0" w:space="0" w:color="auto"/>
          </w:divBdr>
          <w:divsChild>
            <w:div w:id="6457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650">
      <w:bodyDiv w:val="1"/>
      <w:marLeft w:val="0"/>
      <w:marRight w:val="0"/>
      <w:marTop w:val="0"/>
      <w:marBottom w:val="0"/>
      <w:divBdr>
        <w:top w:val="none" w:sz="0" w:space="0" w:color="auto"/>
        <w:left w:val="none" w:sz="0" w:space="0" w:color="auto"/>
        <w:bottom w:val="none" w:sz="0" w:space="0" w:color="auto"/>
        <w:right w:val="none" w:sz="0" w:space="0" w:color="auto"/>
      </w:divBdr>
    </w:div>
    <w:div w:id="389496149">
      <w:bodyDiv w:val="1"/>
      <w:marLeft w:val="0"/>
      <w:marRight w:val="0"/>
      <w:marTop w:val="0"/>
      <w:marBottom w:val="0"/>
      <w:divBdr>
        <w:top w:val="none" w:sz="0" w:space="0" w:color="auto"/>
        <w:left w:val="none" w:sz="0" w:space="0" w:color="auto"/>
        <w:bottom w:val="none" w:sz="0" w:space="0" w:color="auto"/>
        <w:right w:val="none" w:sz="0" w:space="0" w:color="auto"/>
      </w:divBdr>
    </w:div>
    <w:div w:id="414401726">
      <w:bodyDiv w:val="1"/>
      <w:marLeft w:val="0"/>
      <w:marRight w:val="0"/>
      <w:marTop w:val="0"/>
      <w:marBottom w:val="0"/>
      <w:divBdr>
        <w:top w:val="none" w:sz="0" w:space="0" w:color="auto"/>
        <w:left w:val="none" w:sz="0" w:space="0" w:color="auto"/>
        <w:bottom w:val="none" w:sz="0" w:space="0" w:color="auto"/>
        <w:right w:val="none" w:sz="0" w:space="0" w:color="auto"/>
      </w:divBdr>
    </w:div>
    <w:div w:id="452330608">
      <w:bodyDiv w:val="1"/>
      <w:marLeft w:val="0"/>
      <w:marRight w:val="0"/>
      <w:marTop w:val="0"/>
      <w:marBottom w:val="0"/>
      <w:divBdr>
        <w:top w:val="none" w:sz="0" w:space="0" w:color="auto"/>
        <w:left w:val="none" w:sz="0" w:space="0" w:color="auto"/>
        <w:bottom w:val="none" w:sz="0" w:space="0" w:color="auto"/>
        <w:right w:val="none" w:sz="0" w:space="0" w:color="auto"/>
      </w:divBdr>
    </w:div>
    <w:div w:id="484054858">
      <w:bodyDiv w:val="1"/>
      <w:marLeft w:val="0"/>
      <w:marRight w:val="0"/>
      <w:marTop w:val="0"/>
      <w:marBottom w:val="0"/>
      <w:divBdr>
        <w:top w:val="none" w:sz="0" w:space="0" w:color="auto"/>
        <w:left w:val="none" w:sz="0" w:space="0" w:color="auto"/>
        <w:bottom w:val="none" w:sz="0" w:space="0" w:color="auto"/>
        <w:right w:val="none" w:sz="0" w:space="0" w:color="auto"/>
      </w:divBdr>
      <w:divsChild>
        <w:div w:id="1575431802">
          <w:marLeft w:val="0"/>
          <w:marRight w:val="0"/>
          <w:marTop w:val="0"/>
          <w:marBottom w:val="0"/>
          <w:divBdr>
            <w:top w:val="none" w:sz="0" w:space="0" w:color="auto"/>
            <w:left w:val="none" w:sz="0" w:space="0" w:color="auto"/>
            <w:bottom w:val="none" w:sz="0" w:space="0" w:color="auto"/>
            <w:right w:val="none" w:sz="0" w:space="0" w:color="auto"/>
          </w:divBdr>
          <w:divsChild>
            <w:div w:id="51704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3226">
      <w:bodyDiv w:val="1"/>
      <w:marLeft w:val="0"/>
      <w:marRight w:val="0"/>
      <w:marTop w:val="0"/>
      <w:marBottom w:val="0"/>
      <w:divBdr>
        <w:top w:val="none" w:sz="0" w:space="0" w:color="auto"/>
        <w:left w:val="none" w:sz="0" w:space="0" w:color="auto"/>
        <w:bottom w:val="none" w:sz="0" w:space="0" w:color="auto"/>
        <w:right w:val="none" w:sz="0" w:space="0" w:color="auto"/>
      </w:divBdr>
    </w:div>
    <w:div w:id="529806713">
      <w:bodyDiv w:val="1"/>
      <w:marLeft w:val="0"/>
      <w:marRight w:val="0"/>
      <w:marTop w:val="0"/>
      <w:marBottom w:val="0"/>
      <w:divBdr>
        <w:top w:val="none" w:sz="0" w:space="0" w:color="auto"/>
        <w:left w:val="none" w:sz="0" w:space="0" w:color="auto"/>
        <w:bottom w:val="none" w:sz="0" w:space="0" w:color="auto"/>
        <w:right w:val="none" w:sz="0" w:space="0" w:color="auto"/>
      </w:divBdr>
    </w:div>
    <w:div w:id="561411906">
      <w:bodyDiv w:val="1"/>
      <w:marLeft w:val="0"/>
      <w:marRight w:val="0"/>
      <w:marTop w:val="0"/>
      <w:marBottom w:val="0"/>
      <w:divBdr>
        <w:top w:val="none" w:sz="0" w:space="0" w:color="auto"/>
        <w:left w:val="none" w:sz="0" w:space="0" w:color="auto"/>
        <w:bottom w:val="none" w:sz="0" w:space="0" w:color="auto"/>
        <w:right w:val="none" w:sz="0" w:space="0" w:color="auto"/>
      </w:divBdr>
    </w:div>
    <w:div w:id="693119065">
      <w:bodyDiv w:val="1"/>
      <w:marLeft w:val="0"/>
      <w:marRight w:val="0"/>
      <w:marTop w:val="0"/>
      <w:marBottom w:val="0"/>
      <w:divBdr>
        <w:top w:val="none" w:sz="0" w:space="0" w:color="auto"/>
        <w:left w:val="none" w:sz="0" w:space="0" w:color="auto"/>
        <w:bottom w:val="none" w:sz="0" w:space="0" w:color="auto"/>
        <w:right w:val="none" w:sz="0" w:space="0" w:color="auto"/>
      </w:divBdr>
    </w:div>
    <w:div w:id="718284569">
      <w:bodyDiv w:val="1"/>
      <w:marLeft w:val="0"/>
      <w:marRight w:val="0"/>
      <w:marTop w:val="0"/>
      <w:marBottom w:val="0"/>
      <w:divBdr>
        <w:top w:val="none" w:sz="0" w:space="0" w:color="auto"/>
        <w:left w:val="none" w:sz="0" w:space="0" w:color="auto"/>
        <w:bottom w:val="none" w:sz="0" w:space="0" w:color="auto"/>
        <w:right w:val="none" w:sz="0" w:space="0" w:color="auto"/>
      </w:divBdr>
    </w:div>
    <w:div w:id="823663789">
      <w:bodyDiv w:val="1"/>
      <w:marLeft w:val="0"/>
      <w:marRight w:val="0"/>
      <w:marTop w:val="0"/>
      <w:marBottom w:val="0"/>
      <w:divBdr>
        <w:top w:val="none" w:sz="0" w:space="0" w:color="auto"/>
        <w:left w:val="none" w:sz="0" w:space="0" w:color="auto"/>
        <w:bottom w:val="none" w:sz="0" w:space="0" w:color="auto"/>
        <w:right w:val="none" w:sz="0" w:space="0" w:color="auto"/>
      </w:divBdr>
    </w:div>
    <w:div w:id="856770151">
      <w:bodyDiv w:val="1"/>
      <w:marLeft w:val="0"/>
      <w:marRight w:val="0"/>
      <w:marTop w:val="0"/>
      <w:marBottom w:val="0"/>
      <w:divBdr>
        <w:top w:val="none" w:sz="0" w:space="0" w:color="auto"/>
        <w:left w:val="none" w:sz="0" w:space="0" w:color="auto"/>
        <w:bottom w:val="none" w:sz="0" w:space="0" w:color="auto"/>
        <w:right w:val="none" w:sz="0" w:space="0" w:color="auto"/>
      </w:divBdr>
      <w:divsChild>
        <w:div w:id="1048800118">
          <w:marLeft w:val="0"/>
          <w:marRight w:val="0"/>
          <w:marTop w:val="0"/>
          <w:marBottom w:val="0"/>
          <w:divBdr>
            <w:top w:val="none" w:sz="0" w:space="0" w:color="auto"/>
            <w:left w:val="none" w:sz="0" w:space="0" w:color="auto"/>
            <w:bottom w:val="none" w:sz="0" w:space="0" w:color="auto"/>
            <w:right w:val="none" w:sz="0" w:space="0" w:color="auto"/>
          </w:divBdr>
          <w:divsChild>
            <w:div w:id="15717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3181">
      <w:bodyDiv w:val="1"/>
      <w:marLeft w:val="0"/>
      <w:marRight w:val="0"/>
      <w:marTop w:val="0"/>
      <w:marBottom w:val="0"/>
      <w:divBdr>
        <w:top w:val="none" w:sz="0" w:space="0" w:color="auto"/>
        <w:left w:val="none" w:sz="0" w:space="0" w:color="auto"/>
        <w:bottom w:val="none" w:sz="0" w:space="0" w:color="auto"/>
        <w:right w:val="none" w:sz="0" w:space="0" w:color="auto"/>
      </w:divBdr>
    </w:div>
    <w:div w:id="929001578">
      <w:bodyDiv w:val="1"/>
      <w:marLeft w:val="0"/>
      <w:marRight w:val="0"/>
      <w:marTop w:val="0"/>
      <w:marBottom w:val="0"/>
      <w:divBdr>
        <w:top w:val="none" w:sz="0" w:space="0" w:color="auto"/>
        <w:left w:val="none" w:sz="0" w:space="0" w:color="auto"/>
        <w:bottom w:val="none" w:sz="0" w:space="0" w:color="auto"/>
        <w:right w:val="none" w:sz="0" w:space="0" w:color="auto"/>
      </w:divBdr>
      <w:divsChild>
        <w:div w:id="1457405894">
          <w:marLeft w:val="0"/>
          <w:marRight w:val="0"/>
          <w:marTop w:val="0"/>
          <w:marBottom w:val="0"/>
          <w:divBdr>
            <w:top w:val="none" w:sz="0" w:space="0" w:color="auto"/>
            <w:left w:val="none" w:sz="0" w:space="0" w:color="auto"/>
            <w:bottom w:val="none" w:sz="0" w:space="0" w:color="auto"/>
            <w:right w:val="none" w:sz="0" w:space="0" w:color="auto"/>
          </w:divBdr>
          <w:divsChild>
            <w:div w:id="18854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8643">
      <w:bodyDiv w:val="1"/>
      <w:marLeft w:val="0"/>
      <w:marRight w:val="0"/>
      <w:marTop w:val="0"/>
      <w:marBottom w:val="0"/>
      <w:divBdr>
        <w:top w:val="none" w:sz="0" w:space="0" w:color="auto"/>
        <w:left w:val="none" w:sz="0" w:space="0" w:color="auto"/>
        <w:bottom w:val="none" w:sz="0" w:space="0" w:color="auto"/>
        <w:right w:val="none" w:sz="0" w:space="0" w:color="auto"/>
      </w:divBdr>
      <w:divsChild>
        <w:div w:id="960578586">
          <w:marLeft w:val="0"/>
          <w:marRight w:val="0"/>
          <w:marTop w:val="0"/>
          <w:marBottom w:val="0"/>
          <w:divBdr>
            <w:top w:val="none" w:sz="0" w:space="0" w:color="auto"/>
            <w:left w:val="none" w:sz="0" w:space="0" w:color="auto"/>
            <w:bottom w:val="none" w:sz="0" w:space="0" w:color="auto"/>
            <w:right w:val="none" w:sz="0" w:space="0" w:color="auto"/>
          </w:divBdr>
          <w:divsChild>
            <w:div w:id="20762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11367">
      <w:bodyDiv w:val="1"/>
      <w:marLeft w:val="0"/>
      <w:marRight w:val="0"/>
      <w:marTop w:val="0"/>
      <w:marBottom w:val="0"/>
      <w:divBdr>
        <w:top w:val="none" w:sz="0" w:space="0" w:color="auto"/>
        <w:left w:val="none" w:sz="0" w:space="0" w:color="auto"/>
        <w:bottom w:val="none" w:sz="0" w:space="0" w:color="auto"/>
        <w:right w:val="none" w:sz="0" w:space="0" w:color="auto"/>
      </w:divBdr>
    </w:div>
    <w:div w:id="1055080720">
      <w:bodyDiv w:val="1"/>
      <w:marLeft w:val="0"/>
      <w:marRight w:val="0"/>
      <w:marTop w:val="0"/>
      <w:marBottom w:val="0"/>
      <w:divBdr>
        <w:top w:val="none" w:sz="0" w:space="0" w:color="auto"/>
        <w:left w:val="none" w:sz="0" w:space="0" w:color="auto"/>
        <w:bottom w:val="none" w:sz="0" w:space="0" w:color="auto"/>
        <w:right w:val="none" w:sz="0" w:space="0" w:color="auto"/>
      </w:divBdr>
      <w:divsChild>
        <w:div w:id="62412831">
          <w:marLeft w:val="0"/>
          <w:marRight w:val="0"/>
          <w:marTop w:val="0"/>
          <w:marBottom w:val="0"/>
          <w:divBdr>
            <w:top w:val="none" w:sz="0" w:space="0" w:color="auto"/>
            <w:left w:val="none" w:sz="0" w:space="0" w:color="auto"/>
            <w:bottom w:val="none" w:sz="0" w:space="0" w:color="auto"/>
            <w:right w:val="none" w:sz="0" w:space="0" w:color="auto"/>
          </w:divBdr>
          <w:divsChild>
            <w:div w:id="8656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6776">
      <w:bodyDiv w:val="1"/>
      <w:marLeft w:val="0"/>
      <w:marRight w:val="0"/>
      <w:marTop w:val="0"/>
      <w:marBottom w:val="0"/>
      <w:divBdr>
        <w:top w:val="none" w:sz="0" w:space="0" w:color="auto"/>
        <w:left w:val="none" w:sz="0" w:space="0" w:color="auto"/>
        <w:bottom w:val="none" w:sz="0" w:space="0" w:color="auto"/>
        <w:right w:val="none" w:sz="0" w:space="0" w:color="auto"/>
      </w:divBdr>
    </w:div>
    <w:div w:id="1081367030">
      <w:bodyDiv w:val="1"/>
      <w:marLeft w:val="0"/>
      <w:marRight w:val="0"/>
      <w:marTop w:val="0"/>
      <w:marBottom w:val="0"/>
      <w:divBdr>
        <w:top w:val="none" w:sz="0" w:space="0" w:color="auto"/>
        <w:left w:val="none" w:sz="0" w:space="0" w:color="auto"/>
        <w:bottom w:val="none" w:sz="0" w:space="0" w:color="auto"/>
        <w:right w:val="none" w:sz="0" w:space="0" w:color="auto"/>
      </w:divBdr>
      <w:divsChild>
        <w:div w:id="1553930697">
          <w:marLeft w:val="0"/>
          <w:marRight w:val="0"/>
          <w:marTop w:val="0"/>
          <w:marBottom w:val="0"/>
          <w:divBdr>
            <w:top w:val="none" w:sz="0" w:space="0" w:color="auto"/>
            <w:left w:val="none" w:sz="0" w:space="0" w:color="auto"/>
            <w:bottom w:val="none" w:sz="0" w:space="0" w:color="auto"/>
            <w:right w:val="none" w:sz="0" w:space="0" w:color="auto"/>
          </w:divBdr>
          <w:divsChild>
            <w:div w:id="71928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9550">
      <w:bodyDiv w:val="1"/>
      <w:marLeft w:val="0"/>
      <w:marRight w:val="0"/>
      <w:marTop w:val="0"/>
      <w:marBottom w:val="0"/>
      <w:divBdr>
        <w:top w:val="none" w:sz="0" w:space="0" w:color="auto"/>
        <w:left w:val="none" w:sz="0" w:space="0" w:color="auto"/>
        <w:bottom w:val="none" w:sz="0" w:space="0" w:color="auto"/>
        <w:right w:val="none" w:sz="0" w:space="0" w:color="auto"/>
      </w:divBdr>
    </w:div>
    <w:div w:id="1208646260">
      <w:bodyDiv w:val="1"/>
      <w:marLeft w:val="0"/>
      <w:marRight w:val="0"/>
      <w:marTop w:val="0"/>
      <w:marBottom w:val="0"/>
      <w:divBdr>
        <w:top w:val="none" w:sz="0" w:space="0" w:color="auto"/>
        <w:left w:val="none" w:sz="0" w:space="0" w:color="auto"/>
        <w:bottom w:val="none" w:sz="0" w:space="0" w:color="auto"/>
        <w:right w:val="none" w:sz="0" w:space="0" w:color="auto"/>
      </w:divBdr>
      <w:divsChild>
        <w:div w:id="1740057455">
          <w:marLeft w:val="0"/>
          <w:marRight w:val="0"/>
          <w:marTop w:val="0"/>
          <w:marBottom w:val="0"/>
          <w:divBdr>
            <w:top w:val="none" w:sz="0" w:space="0" w:color="auto"/>
            <w:left w:val="none" w:sz="0" w:space="0" w:color="auto"/>
            <w:bottom w:val="none" w:sz="0" w:space="0" w:color="auto"/>
            <w:right w:val="none" w:sz="0" w:space="0" w:color="auto"/>
          </w:divBdr>
          <w:divsChild>
            <w:div w:id="13988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644">
      <w:bodyDiv w:val="1"/>
      <w:marLeft w:val="0"/>
      <w:marRight w:val="0"/>
      <w:marTop w:val="0"/>
      <w:marBottom w:val="0"/>
      <w:divBdr>
        <w:top w:val="none" w:sz="0" w:space="0" w:color="auto"/>
        <w:left w:val="none" w:sz="0" w:space="0" w:color="auto"/>
        <w:bottom w:val="none" w:sz="0" w:space="0" w:color="auto"/>
        <w:right w:val="none" w:sz="0" w:space="0" w:color="auto"/>
      </w:divBdr>
    </w:div>
    <w:div w:id="1241255093">
      <w:bodyDiv w:val="1"/>
      <w:marLeft w:val="0"/>
      <w:marRight w:val="0"/>
      <w:marTop w:val="0"/>
      <w:marBottom w:val="0"/>
      <w:divBdr>
        <w:top w:val="none" w:sz="0" w:space="0" w:color="auto"/>
        <w:left w:val="none" w:sz="0" w:space="0" w:color="auto"/>
        <w:bottom w:val="none" w:sz="0" w:space="0" w:color="auto"/>
        <w:right w:val="none" w:sz="0" w:space="0" w:color="auto"/>
      </w:divBdr>
    </w:div>
    <w:div w:id="1410541602">
      <w:bodyDiv w:val="1"/>
      <w:marLeft w:val="0"/>
      <w:marRight w:val="0"/>
      <w:marTop w:val="0"/>
      <w:marBottom w:val="0"/>
      <w:divBdr>
        <w:top w:val="none" w:sz="0" w:space="0" w:color="auto"/>
        <w:left w:val="none" w:sz="0" w:space="0" w:color="auto"/>
        <w:bottom w:val="none" w:sz="0" w:space="0" w:color="auto"/>
        <w:right w:val="none" w:sz="0" w:space="0" w:color="auto"/>
      </w:divBdr>
      <w:divsChild>
        <w:div w:id="746267622">
          <w:marLeft w:val="0"/>
          <w:marRight w:val="0"/>
          <w:marTop w:val="0"/>
          <w:marBottom w:val="0"/>
          <w:divBdr>
            <w:top w:val="none" w:sz="0" w:space="0" w:color="auto"/>
            <w:left w:val="none" w:sz="0" w:space="0" w:color="auto"/>
            <w:bottom w:val="none" w:sz="0" w:space="0" w:color="auto"/>
            <w:right w:val="none" w:sz="0" w:space="0" w:color="auto"/>
          </w:divBdr>
          <w:divsChild>
            <w:div w:id="11658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3547">
      <w:bodyDiv w:val="1"/>
      <w:marLeft w:val="0"/>
      <w:marRight w:val="0"/>
      <w:marTop w:val="0"/>
      <w:marBottom w:val="0"/>
      <w:divBdr>
        <w:top w:val="none" w:sz="0" w:space="0" w:color="auto"/>
        <w:left w:val="none" w:sz="0" w:space="0" w:color="auto"/>
        <w:bottom w:val="none" w:sz="0" w:space="0" w:color="auto"/>
        <w:right w:val="none" w:sz="0" w:space="0" w:color="auto"/>
      </w:divBdr>
    </w:div>
    <w:div w:id="1444687761">
      <w:bodyDiv w:val="1"/>
      <w:marLeft w:val="0"/>
      <w:marRight w:val="0"/>
      <w:marTop w:val="0"/>
      <w:marBottom w:val="0"/>
      <w:divBdr>
        <w:top w:val="none" w:sz="0" w:space="0" w:color="auto"/>
        <w:left w:val="none" w:sz="0" w:space="0" w:color="auto"/>
        <w:bottom w:val="none" w:sz="0" w:space="0" w:color="auto"/>
        <w:right w:val="none" w:sz="0" w:space="0" w:color="auto"/>
      </w:divBdr>
      <w:divsChild>
        <w:div w:id="842354786">
          <w:marLeft w:val="0"/>
          <w:marRight w:val="0"/>
          <w:marTop w:val="0"/>
          <w:marBottom w:val="0"/>
          <w:divBdr>
            <w:top w:val="none" w:sz="0" w:space="0" w:color="auto"/>
            <w:left w:val="none" w:sz="0" w:space="0" w:color="auto"/>
            <w:bottom w:val="none" w:sz="0" w:space="0" w:color="auto"/>
            <w:right w:val="none" w:sz="0" w:space="0" w:color="auto"/>
          </w:divBdr>
          <w:divsChild>
            <w:div w:id="2552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7879">
      <w:bodyDiv w:val="1"/>
      <w:marLeft w:val="0"/>
      <w:marRight w:val="0"/>
      <w:marTop w:val="0"/>
      <w:marBottom w:val="0"/>
      <w:divBdr>
        <w:top w:val="none" w:sz="0" w:space="0" w:color="auto"/>
        <w:left w:val="none" w:sz="0" w:space="0" w:color="auto"/>
        <w:bottom w:val="none" w:sz="0" w:space="0" w:color="auto"/>
        <w:right w:val="none" w:sz="0" w:space="0" w:color="auto"/>
      </w:divBdr>
      <w:divsChild>
        <w:div w:id="279579517">
          <w:marLeft w:val="0"/>
          <w:marRight w:val="0"/>
          <w:marTop w:val="0"/>
          <w:marBottom w:val="0"/>
          <w:divBdr>
            <w:top w:val="none" w:sz="0" w:space="0" w:color="auto"/>
            <w:left w:val="none" w:sz="0" w:space="0" w:color="auto"/>
            <w:bottom w:val="none" w:sz="0" w:space="0" w:color="auto"/>
            <w:right w:val="none" w:sz="0" w:space="0" w:color="auto"/>
          </w:divBdr>
          <w:divsChild>
            <w:div w:id="9221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2547">
      <w:bodyDiv w:val="1"/>
      <w:marLeft w:val="0"/>
      <w:marRight w:val="0"/>
      <w:marTop w:val="0"/>
      <w:marBottom w:val="0"/>
      <w:divBdr>
        <w:top w:val="none" w:sz="0" w:space="0" w:color="auto"/>
        <w:left w:val="none" w:sz="0" w:space="0" w:color="auto"/>
        <w:bottom w:val="none" w:sz="0" w:space="0" w:color="auto"/>
        <w:right w:val="none" w:sz="0" w:space="0" w:color="auto"/>
      </w:divBdr>
      <w:divsChild>
        <w:div w:id="754977922">
          <w:marLeft w:val="0"/>
          <w:marRight w:val="0"/>
          <w:marTop w:val="0"/>
          <w:marBottom w:val="0"/>
          <w:divBdr>
            <w:top w:val="none" w:sz="0" w:space="0" w:color="auto"/>
            <w:left w:val="none" w:sz="0" w:space="0" w:color="auto"/>
            <w:bottom w:val="none" w:sz="0" w:space="0" w:color="auto"/>
            <w:right w:val="none" w:sz="0" w:space="0" w:color="auto"/>
          </w:divBdr>
          <w:divsChild>
            <w:div w:id="7302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8959">
      <w:bodyDiv w:val="1"/>
      <w:marLeft w:val="0"/>
      <w:marRight w:val="0"/>
      <w:marTop w:val="0"/>
      <w:marBottom w:val="0"/>
      <w:divBdr>
        <w:top w:val="none" w:sz="0" w:space="0" w:color="auto"/>
        <w:left w:val="none" w:sz="0" w:space="0" w:color="auto"/>
        <w:bottom w:val="none" w:sz="0" w:space="0" w:color="auto"/>
        <w:right w:val="none" w:sz="0" w:space="0" w:color="auto"/>
      </w:divBdr>
      <w:divsChild>
        <w:div w:id="5208772">
          <w:marLeft w:val="0"/>
          <w:marRight w:val="0"/>
          <w:marTop w:val="0"/>
          <w:marBottom w:val="0"/>
          <w:divBdr>
            <w:top w:val="none" w:sz="0" w:space="0" w:color="auto"/>
            <w:left w:val="none" w:sz="0" w:space="0" w:color="auto"/>
            <w:bottom w:val="none" w:sz="0" w:space="0" w:color="auto"/>
            <w:right w:val="none" w:sz="0" w:space="0" w:color="auto"/>
          </w:divBdr>
          <w:divsChild>
            <w:div w:id="19036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5235">
      <w:bodyDiv w:val="1"/>
      <w:marLeft w:val="0"/>
      <w:marRight w:val="0"/>
      <w:marTop w:val="0"/>
      <w:marBottom w:val="0"/>
      <w:divBdr>
        <w:top w:val="none" w:sz="0" w:space="0" w:color="auto"/>
        <w:left w:val="none" w:sz="0" w:space="0" w:color="auto"/>
        <w:bottom w:val="none" w:sz="0" w:space="0" w:color="auto"/>
        <w:right w:val="none" w:sz="0" w:space="0" w:color="auto"/>
      </w:divBdr>
    </w:div>
    <w:div w:id="1598293013">
      <w:bodyDiv w:val="1"/>
      <w:marLeft w:val="0"/>
      <w:marRight w:val="0"/>
      <w:marTop w:val="0"/>
      <w:marBottom w:val="0"/>
      <w:divBdr>
        <w:top w:val="none" w:sz="0" w:space="0" w:color="auto"/>
        <w:left w:val="none" w:sz="0" w:space="0" w:color="auto"/>
        <w:bottom w:val="none" w:sz="0" w:space="0" w:color="auto"/>
        <w:right w:val="none" w:sz="0" w:space="0" w:color="auto"/>
      </w:divBdr>
    </w:div>
    <w:div w:id="1632979994">
      <w:bodyDiv w:val="1"/>
      <w:marLeft w:val="0"/>
      <w:marRight w:val="0"/>
      <w:marTop w:val="0"/>
      <w:marBottom w:val="0"/>
      <w:divBdr>
        <w:top w:val="none" w:sz="0" w:space="0" w:color="auto"/>
        <w:left w:val="none" w:sz="0" w:space="0" w:color="auto"/>
        <w:bottom w:val="none" w:sz="0" w:space="0" w:color="auto"/>
        <w:right w:val="none" w:sz="0" w:space="0" w:color="auto"/>
      </w:divBdr>
      <w:divsChild>
        <w:div w:id="389232413">
          <w:marLeft w:val="0"/>
          <w:marRight w:val="0"/>
          <w:marTop w:val="0"/>
          <w:marBottom w:val="0"/>
          <w:divBdr>
            <w:top w:val="none" w:sz="0" w:space="0" w:color="auto"/>
            <w:left w:val="none" w:sz="0" w:space="0" w:color="auto"/>
            <w:bottom w:val="none" w:sz="0" w:space="0" w:color="auto"/>
            <w:right w:val="none" w:sz="0" w:space="0" w:color="auto"/>
          </w:divBdr>
          <w:divsChild>
            <w:div w:id="18923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9662">
      <w:bodyDiv w:val="1"/>
      <w:marLeft w:val="0"/>
      <w:marRight w:val="0"/>
      <w:marTop w:val="0"/>
      <w:marBottom w:val="0"/>
      <w:divBdr>
        <w:top w:val="none" w:sz="0" w:space="0" w:color="auto"/>
        <w:left w:val="none" w:sz="0" w:space="0" w:color="auto"/>
        <w:bottom w:val="none" w:sz="0" w:space="0" w:color="auto"/>
        <w:right w:val="none" w:sz="0" w:space="0" w:color="auto"/>
      </w:divBdr>
    </w:div>
    <w:div w:id="1694185051">
      <w:bodyDiv w:val="1"/>
      <w:marLeft w:val="0"/>
      <w:marRight w:val="0"/>
      <w:marTop w:val="0"/>
      <w:marBottom w:val="0"/>
      <w:divBdr>
        <w:top w:val="none" w:sz="0" w:space="0" w:color="auto"/>
        <w:left w:val="none" w:sz="0" w:space="0" w:color="auto"/>
        <w:bottom w:val="none" w:sz="0" w:space="0" w:color="auto"/>
        <w:right w:val="none" w:sz="0" w:space="0" w:color="auto"/>
      </w:divBdr>
    </w:div>
    <w:div w:id="1702437020">
      <w:bodyDiv w:val="1"/>
      <w:marLeft w:val="0"/>
      <w:marRight w:val="0"/>
      <w:marTop w:val="0"/>
      <w:marBottom w:val="0"/>
      <w:divBdr>
        <w:top w:val="none" w:sz="0" w:space="0" w:color="auto"/>
        <w:left w:val="none" w:sz="0" w:space="0" w:color="auto"/>
        <w:bottom w:val="none" w:sz="0" w:space="0" w:color="auto"/>
        <w:right w:val="none" w:sz="0" w:space="0" w:color="auto"/>
      </w:divBdr>
    </w:div>
    <w:div w:id="1716731936">
      <w:bodyDiv w:val="1"/>
      <w:marLeft w:val="0"/>
      <w:marRight w:val="0"/>
      <w:marTop w:val="0"/>
      <w:marBottom w:val="0"/>
      <w:divBdr>
        <w:top w:val="none" w:sz="0" w:space="0" w:color="auto"/>
        <w:left w:val="none" w:sz="0" w:space="0" w:color="auto"/>
        <w:bottom w:val="none" w:sz="0" w:space="0" w:color="auto"/>
        <w:right w:val="none" w:sz="0" w:space="0" w:color="auto"/>
      </w:divBdr>
      <w:divsChild>
        <w:div w:id="1586569051">
          <w:marLeft w:val="0"/>
          <w:marRight w:val="0"/>
          <w:marTop w:val="0"/>
          <w:marBottom w:val="0"/>
          <w:divBdr>
            <w:top w:val="none" w:sz="0" w:space="0" w:color="auto"/>
            <w:left w:val="none" w:sz="0" w:space="0" w:color="auto"/>
            <w:bottom w:val="none" w:sz="0" w:space="0" w:color="auto"/>
            <w:right w:val="none" w:sz="0" w:space="0" w:color="auto"/>
          </w:divBdr>
          <w:divsChild>
            <w:div w:id="833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0284">
      <w:bodyDiv w:val="1"/>
      <w:marLeft w:val="0"/>
      <w:marRight w:val="0"/>
      <w:marTop w:val="0"/>
      <w:marBottom w:val="0"/>
      <w:divBdr>
        <w:top w:val="none" w:sz="0" w:space="0" w:color="auto"/>
        <w:left w:val="none" w:sz="0" w:space="0" w:color="auto"/>
        <w:bottom w:val="none" w:sz="0" w:space="0" w:color="auto"/>
        <w:right w:val="none" w:sz="0" w:space="0" w:color="auto"/>
      </w:divBdr>
    </w:div>
    <w:div w:id="1785688500">
      <w:bodyDiv w:val="1"/>
      <w:marLeft w:val="0"/>
      <w:marRight w:val="0"/>
      <w:marTop w:val="0"/>
      <w:marBottom w:val="0"/>
      <w:divBdr>
        <w:top w:val="none" w:sz="0" w:space="0" w:color="auto"/>
        <w:left w:val="none" w:sz="0" w:space="0" w:color="auto"/>
        <w:bottom w:val="none" w:sz="0" w:space="0" w:color="auto"/>
        <w:right w:val="none" w:sz="0" w:space="0" w:color="auto"/>
      </w:divBdr>
      <w:divsChild>
        <w:div w:id="947464024">
          <w:marLeft w:val="0"/>
          <w:marRight w:val="0"/>
          <w:marTop w:val="0"/>
          <w:marBottom w:val="0"/>
          <w:divBdr>
            <w:top w:val="none" w:sz="0" w:space="0" w:color="auto"/>
            <w:left w:val="none" w:sz="0" w:space="0" w:color="auto"/>
            <w:bottom w:val="none" w:sz="0" w:space="0" w:color="auto"/>
            <w:right w:val="none" w:sz="0" w:space="0" w:color="auto"/>
          </w:divBdr>
          <w:divsChild>
            <w:div w:id="10744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681654">
      <w:bodyDiv w:val="1"/>
      <w:marLeft w:val="0"/>
      <w:marRight w:val="0"/>
      <w:marTop w:val="0"/>
      <w:marBottom w:val="0"/>
      <w:divBdr>
        <w:top w:val="none" w:sz="0" w:space="0" w:color="auto"/>
        <w:left w:val="none" w:sz="0" w:space="0" w:color="auto"/>
        <w:bottom w:val="none" w:sz="0" w:space="0" w:color="auto"/>
        <w:right w:val="none" w:sz="0" w:space="0" w:color="auto"/>
      </w:divBdr>
    </w:div>
    <w:div w:id="1930457600">
      <w:bodyDiv w:val="1"/>
      <w:marLeft w:val="0"/>
      <w:marRight w:val="0"/>
      <w:marTop w:val="0"/>
      <w:marBottom w:val="0"/>
      <w:divBdr>
        <w:top w:val="none" w:sz="0" w:space="0" w:color="auto"/>
        <w:left w:val="none" w:sz="0" w:space="0" w:color="auto"/>
        <w:bottom w:val="none" w:sz="0" w:space="0" w:color="auto"/>
        <w:right w:val="none" w:sz="0" w:space="0" w:color="auto"/>
      </w:divBdr>
    </w:div>
    <w:div w:id="1931044369">
      <w:bodyDiv w:val="1"/>
      <w:marLeft w:val="0"/>
      <w:marRight w:val="0"/>
      <w:marTop w:val="0"/>
      <w:marBottom w:val="0"/>
      <w:divBdr>
        <w:top w:val="none" w:sz="0" w:space="0" w:color="auto"/>
        <w:left w:val="none" w:sz="0" w:space="0" w:color="auto"/>
        <w:bottom w:val="none" w:sz="0" w:space="0" w:color="auto"/>
        <w:right w:val="none" w:sz="0" w:space="0" w:color="auto"/>
      </w:divBdr>
      <w:divsChild>
        <w:div w:id="1598633524">
          <w:marLeft w:val="0"/>
          <w:marRight w:val="0"/>
          <w:marTop w:val="0"/>
          <w:marBottom w:val="0"/>
          <w:divBdr>
            <w:top w:val="none" w:sz="0" w:space="0" w:color="auto"/>
            <w:left w:val="none" w:sz="0" w:space="0" w:color="auto"/>
            <w:bottom w:val="none" w:sz="0" w:space="0" w:color="auto"/>
            <w:right w:val="none" w:sz="0" w:space="0" w:color="auto"/>
          </w:divBdr>
          <w:divsChild>
            <w:div w:id="1774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95958">
      <w:bodyDiv w:val="1"/>
      <w:marLeft w:val="0"/>
      <w:marRight w:val="0"/>
      <w:marTop w:val="0"/>
      <w:marBottom w:val="0"/>
      <w:divBdr>
        <w:top w:val="none" w:sz="0" w:space="0" w:color="auto"/>
        <w:left w:val="none" w:sz="0" w:space="0" w:color="auto"/>
        <w:bottom w:val="none" w:sz="0" w:space="0" w:color="auto"/>
        <w:right w:val="none" w:sz="0" w:space="0" w:color="auto"/>
      </w:divBdr>
    </w:div>
    <w:div w:id="1995599883">
      <w:bodyDiv w:val="1"/>
      <w:marLeft w:val="0"/>
      <w:marRight w:val="0"/>
      <w:marTop w:val="0"/>
      <w:marBottom w:val="0"/>
      <w:divBdr>
        <w:top w:val="none" w:sz="0" w:space="0" w:color="auto"/>
        <w:left w:val="none" w:sz="0" w:space="0" w:color="auto"/>
        <w:bottom w:val="none" w:sz="0" w:space="0" w:color="auto"/>
        <w:right w:val="none" w:sz="0" w:space="0" w:color="auto"/>
      </w:divBdr>
      <w:divsChild>
        <w:div w:id="401566574">
          <w:marLeft w:val="0"/>
          <w:marRight w:val="0"/>
          <w:marTop w:val="0"/>
          <w:marBottom w:val="0"/>
          <w:divBdr>
            <w:top w:val="none" w:sz="0" w:space="0" w:color="auto"/>
            <w:left w:val="none" w:sz="0" w:space="0" w:color="auto"/>
            <w:bottom w:val="none" w:sz="0" w:space="0" w:color="auto"/>
            <w:right w:val="none" w:sz="0" w:space="0" w:color="auto"/>
          </w:divBdr>
          <w:divsChild>
            <w:div w:id="19886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7219">
      <w:bodyDiv w:val="1"/>
      <w:marLeft w:val="0"/>
      <w:marRight w:val="0"/>
      <w:marTop w:val="0"/>
      <w:marBottom w:val="0"/>
      <w:divBdr>
        <w:top w:val="none" w:sz="0" w:space="0" w:color="auto"/>
        <w:left w:val="none" w:sz="0" w:space="0" w:color="auto"/>
        <w:bottom w:val="none" w:sz="0" w:space="0" w:color="auto"/>
        <w:right w:val="none" w:sz="0" w:space="0" w:color="auto"/>
      </w:divBdr>
      <w:divsChild>
        <w:div w:id="1200626316">
          <w:marLeft w:val="0"/>
          <w:marRight w:val="0"/>
          <w:marTop w:val="0"/>
          <w:marBottom w:val="0"/>
          <w:divBdr>
            <w:top w:val="none" w:sz="0" w:space="0" w:color="auto"/>
            <w:left w:val="none" w:sz="0" w:space="0" w:color="auto"/>
            <w:bottom w:val="none" w:sz="0" w:space="0" w:color="auto"/>
            <w:right w:val="none" w:sz="0" w:space="0" w:color="auto"/>
          </w:divBdr>
          <w:divsChild>
            <w:div w:id="48288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47855">
      <w:bodyDiv w:val="1"/>
      <w:marLeft w:val="0"/>
      <w:marRight w:val="0"/>
      <w:marTop w:val="0"/>
      <w:marBottom w:val="0"/>
      <w:divBdr>
        <w:top w:val="none" w:sz="0" w:space="0" w:color="auto"/>
        <w:left w:val="none" w:sz="0" w:space="0" w:color="auto"/>
        <w:bottom w:val="none" w:sz="0" w:space="0" w:color="auto"/>
        <w:right w:val="none" w:sz="0" w:space="0" w:color="auto"/>
      </w:divBdr>
    </w:div>
    <w:div w:id="2076706229">
      <w:bodyDiv w:val="1"/>
      <w:marLeft w:val="0"/>
      <w:marRight w:val="0"/>
      <w:marTop w:val="0"/>
      <w:marBottom w:val="0"/>
      <w:divBdr>
        <w:top w:val="none" w:sz="0" w:space="0" w:color="auto"/>
        <w:left w:val="none" w:sz="0" w:space="0" w:color="auto"/>
        <w:bottom w:val="none" w:sz="0" w:space="0" w:color="auto"/>
        <w:right w:val="none" w:sz="0" w:space="0" w:color="auto"/>
      </w:divBdr>
      <w:divsChild>
        <w:div w:id="1271431160">
          <w:marLeft w:val="0"/>
          <w:marRight w:val="0"/>
          <w:marTop w:val="0"/>
          <w:marBottom w:val="0"/>
          <w:divBdr>
            <w:top w:val="none" w:sz="0" w:space="0" w:color="auto"/>
            <w:left w:val="none" w:sz="0" w:space="0" w:color="auto"/>
            <w:bottom w:val="none" w:sz="0" w:space="0" w:color="auto"/>
            <w:right w:val="none" w:sz="0" w:space="0" w:color="auto"/>
          </w:divBdr>
          <w:divsChild>
            <w:div w:id="2311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25B91-B8E1-407B-973A-C21DD3EE0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34684</Words>
  <Characters>197704</Characters>
  <Application>Microsoft Office Word</Application>
  <DocSecurity>4</DocSecurity>
  <Lines>1647</Lines>
  <Paragraphs>463</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231925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Richardson</dc:creator>
  <cp:lastModifiedBy>Carol Cowie</cp:lastModifiedBy>
  <cp:revision>2</cp:revision>
  <cp:lastPrinted>2016-10-25T04:10:00Z</cp:lastPrinted>
  <dcterms:created xsi:type="dcterms:W3CDTF">2016-12-06T21:09:00Z</dcterms:created>
  <dcterms:modified xsi:type="dcterms:W3CDTF">2016-12-06T21:09:00Z</dcterms:modified>
</cp:coreProperties>
</file>